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EF" w:rsidRPr="00B93F21" w:rsidRDefault="008435EF" w:rsidP="00CA7F33">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8435EF" w:rsidRPr="00B93F21" w:rsidRDefault="008435EF" w:rsidP="008435EF">
      <w:pPr>
        <w:pStyle w:val="NoteHead"/>
        <w:spacing w:after="0"/>
        <w:jc w:val="left"/>
        <w:rPr>
          <w:rFonts w:ascii="Arial" w:hAnsi="Arial" w:cs="Arial"/>
          <w:sz w:val="22"/>
          <w:szCs w:val="22"/>
        </w:rPr>
      </w:pPr>
    </w:p>
    <w:p w:rsidR="008435EF" w:rsidRPr="005E3C76" w:rsidRDefault="008435EF" w:rsidP="008435EF">
      <w:pPr>
        <w:pStyle w:val="NoteHead"/>
        <w:spacing w:after="0"/>
        <w:outlineLvl w:val="0"/>
        <w:rPr>
          <w:rFonts w:ascii="Arial" w:hAnsi="Arial" w:cs="Arial"/>
          <w:sz w:val="20"/>
          <w:szCs w:val="20"/>
        </w:rPr>
      </w:pPr>
      <w:r w:rsidRPr="005E3C76">
        <w:rPr>
          <w:rFonts w:ascii="Arial" w:hAnsi="Arial" w:cs="Arial"/>
          <w:sz w:val="20"/>
          <w:szCs w:val="20"/>
        </w:rPr>
        <w:t>I.</w:t>
      </w:r>
    </w:p>
    <w:p w:rsidR="008435EF" w:rsidRPr="005E3C76" w:rsidRDefault="008435EF" w:rsidP="00E645D7">
      <w:pPr>
        <w:pStyle w:val="NoteHead"/>
        <w:spacing w:after="0"/>
        <w:rPr>
          <w:rFonts w:ascii="Arial" w:hAnsi="Arial" w:cs="Arial"/>
          <w:sz w:val="20"/>
          <w:szCs w:val="20"/>
        </w:rPr>
      </w:pPr>
      <w:r w:rsidRPr="005E3C76">
        <w:rPr>
          <w:rFonts w:ascii="Arial" w:hAnsi="Arial" w:cs="Arial"/>
          <w:sz w:val="20"/>
          <w:szCs w:val="20"/>
        </w:rPr>
        <w:t>Smluvní strany</w:t>
      </w:r>
    </w:p>
    <w:p w:rsidR="008435EF" w:rsidRPr="005E3C76" w:rsidRDefault="008435EF" w:rsidP="008435EF">
      <w:pPr>
        <w:pStyle w:val="Zhlav"/>
        <w:rPr>
          <w:rFonts w:ascii="Arial" w:hAnsi="Arial" w:cs="Arial"/>
          <w:sz w:val="20"/>
          <w:szCs w:val="20"/>
        </w:rPr>
      </w:pPr>
      <w:r w:rsidRPr="005E3C76">
        <w:rPr>
          <w:rFonts w:ascii="Arial" w:hAnsi="Arial" w:cs="Arial"/>
          <w:b/>
          <w:bCs/>
          <w:sz w:val="20"/>
          <w:szCs w:val="20"/>
        </w:rPr>
        <w:t>Statutární město Jihlava</w:t>
      </w:r>
    </w:p>
    <w:p w:rsidR="008435EF" w:rsidRPr="005E3C76" w:rsidRDefault="008435EF" w:rsidP="008435EF">
      <w:pPr>
        <w:pStyle w:val="Zhlav"/>
        <w:rPr>
          <w:rFonts w:ascii="Arial" w:hAnsi="Arial" w:cs="Arial"/>
          <w:sz w:val="20"/>
          <w:szCs w:val="20"/>
        </w:rPr>
      </w:pPr>
      <w:r w:rsidRPr="005E3C76">
        <w:rPr>
          <w:rFonts w:ascii="Arial" w:hAnsi="Arial" w:cs="Arial"/>
          <w:sz w:val="20"/>
          <w:szCs w:val="20"/>
        </w:rPr>
        <w:t>se sídlem: Masarykovo náměstí 1, 586 01 Jihlava</w:t>
      </w:r>
    </w:p>
    <w:p w:rsidR="008435EF" w:rsidRDefault="008435EF" w:rsidP="008435EF">
      <w:pPr>
        <w:rPr>
          <w:rFonts w:ascii="Arial" w:hAnsi="Arial" w:cs="Arial"/>
          <w:sz w:val="20"/>
          <w:szCs w:val="20"/>
        </w:rPr>
      </w:pPr>
      <w:r w:rsidRPr="005E3C76">
        <w:rPr>
          <w:rFonts w:ascii="Arial" w:hAnsi="Arial" w:cs="Arial"/>
          <w:sz w:val="20"/>
          <w:szCs w:val="20"/>
        </w:rPr>
        <w:t>IČO: 00286010, DIČ: CZ00286010</w:t>
      </w:r>
    </w:p>
    <w:p w:rsidR="00E7021D" w:rsidRPr="005E3C76" w:rsidRDefault="00E7021D" w:rsidP="00E7021D">
      <w:pPr>
        <w:rPr>
          <w:rFonts w:ascii="Arial" w:hAnsi="Arial" w:cs="Arial"/>
          <w:sz w:val="20"/>
          <w:szCs w:val="20"/>
        </w:rPr>
      </w:pPr>
      <w:r w:rsidRPr="005E3C76">
        <w:rPr>
          <w:rFonts w:ascii="Arial" w:hAnsi="Arial" w:cs="Arial"/>
          <w:sz w:val="20"/>
          <w:szCs w:val="20"/>
        </w:rPr>
        <w:t>z</w:t>
      </w:r>
      <w:r>
        <w:rPr>
          <w:rFonts w:ascii="Arial" w:hAnsi="Arial" w:cs="Arial"/>
          <w:sz w:val="20"/>
          <w:szCs w:val="20"/>
        </w:rPr>
        <w:t xml:space="preserve">astoupené: </w:t>
      </w:r>
      <w:r w:rsidR="001F656D">
        <w:rPr>
          <w:rFonts w:ascii="Arial" w:hAnsi="Arial" w:cs="Arial"/>
          <w:sz w:val="20"/>
          <w:szCs w:val="20"/>
        </w:rPr>
        <w:t xml:space="preserve">Ing. Richardem Šedivým, náměstkem primátora </w:t>
      </w:r>
    </w:p>
    <w:p w:rsidR="00E7021D" w:rsidRPr="005E3C76" w:rsidRDefault="00E7021D" w:rsidP="008435EF">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E7021D" w:rsidRPr="005E3C76" w:rsidRDefault="008435EF" w:rsidP="008435EF">
      <w:pPr>
        <w:rPr>
          <w:rFonts w:ascii="Arial" w:hAnsi="Arial" w:cs="Arial"/>
          <w:sz w:val="20"/>
          <w:szCs w:val="20"/>
        </w:rPr>
      </w:pPr>
      <w:r w:rsidRPr="005E3C76">
        <w:rPr>
          <w:rFonts w:ascii="Arial" w:hAnsi="Arial" w:cs="Arial"/>
          <w:sz w:val="20"/>
          <w:szCs w:val="20"/>
        </w:rPr>
        <w:t>(dále jen Město)</w:t>
      </w:r>
    </w:p>
    <w:p w:rsidR="00E7021D" w:rsidRPr="008A25B2" w:rsidRDefault="008435EF" w:rsidP="008A25B2">
      <w:pPr>
        <w:ind w:left="720" w:hanging="720"/>
        <w:rPr>
          <w:rFonts w:ascii="Arial" w:hAnsi="Arial" w:cs="Arial"/>
          <w:sz w:val="20"/>
          <w:szCs w:val="20"/>
        </w:rPr>
      </w:pPr>
      <w:r w:rsidRPr="005E3C76">
        <w:rPr>
          <w:rFonts w:ascii="Arial" w:hAnsi="Arial" w:cs="Arial"/>
          <w:sz w:val="20"/>
          <w:szCs w:val="20"/>
        </w:rPr>
        <w:t>a</w:t>
      </w:r>
    </w:p>
    <w:p w:rsidR="008435EF" w:rsidRPr="00930B26" w:rsidRDefault="008435EF" w:rsidP="008435EF">
      <w:pPr>
        <w:rPr>
          <w:rFonts w:ascii="Arial" w:hAnsi="Arial" w:cs="Arial"/>
          <w:b/>
          <w:bCs/>
          <w:i/>
          <w:sz w:val="20"/>
          <w:szCs w:val="20"/>
        </w:rPr>
      </w:pPr>
      <w:r w:rsidRPr="00930B26">
        <w:rPr>
          <w:rFonts w:ascii="Arial" w:hAnsi="Arial" w:cs="Arial"/>
          <w:b/>
          <w:sz w:val="20"/>
          <w:szCs w:val="20"/>
        </w:rPr>
        <w:t>D-</w:t>
      </w:r>
      <w:proofErr w:type="spellStart"/>
      <w:r w:rsidRPr="00930B26">
        <w:rPr>
          <w:rFonts w:ascii="Arial" w:hAnsi="Arial" w:cs="Arial"/>
          <w:b/>
          <w:sz w:val="20"/>
          <w:szCs w:val="20"/>
        </w:rPr>
        <w:t>cinema</w:t>
      </w:r>
      <w:proofErr w:type="spellEnd"/>
      <w:r w:rsidRPr="00930B26">
        <w:rPr>
          <w:rFonts w:ascii="Arial" w:hAnsi="Arial" w:cs="Arial"/>
          <w:b/>
          <w:sz w:val="20"/>
          <w:szCs w:val="20"/>
        </w:rPr>
        <w:t xml:space="preserve">, s.r.o. </w:t>
      </w:r>
      <w:r w:rsidRPr="00930B26">
        <w:rPr>
          <w:rFonts w:ascii="Arial" w:hAnsi="Arial" w:cs="Arial"/>
          <w:b/>
          <w:sz w:val="20"/>
          <w:szCs w:val="20"/>
        </w:rPr>
        <w:tab/>
      </w:r>
      <w:r w:rsidRPr="00930B26">
        <w:rPr>
          <w:rFonts w:ascii="Arial" w:hAnsi="Arial" w:cs="Arial"/>
          <w:b/>
          <w:i/>
          <w:sz w:val="20"/>
          <w:szCs w:val="20"/>
        </w:rPr>
        <w:tab/>
      </w:r>
      <w:r w:rsidRPr="00930B26">
        <w:rPr>
          <w:rFonts w:ascii="Arial" w:hAnsi="Arial" w:cs="Arial"/>
          <w:b/>
          <w:i/>
          <w:sz w:val="20"/>
          <w:szCs w:val="20"/>
        </w:rPr>
        <w:tab/>
      </w:r>
      <w:r w:rsidRPr="00930B26">
        <w:rPr>
          <w:rFonts w:ascii="Arial" w:hAnsi="Arial" w:cs="Arial"/>
          <w:b/>
          <w:i/>
          <w:sz w:val="20"/>
          <w:szCs w:val="20"/>
        </w:rPr>
        <w:tab/>
      </w:r>
      <w:r w:rsidRPr="00930B26">
        <w:rPr>
          <w:rFonts w:ascii="Arial" w:hAnsi="Arial" w:cs="Arial"/>
          <w:b/>
          <w:i/>
          <w:sz w:val="20"/>
          <w:szCs w:val="20"/>
        </w:rPr>
        <w:tab/>
      </w:r>
    </w:p>
    <w:p w:rsidR="008435EF" w:rsidRDefault="00C376FF" w:rsidP="008435EF">
      <w:pPr>
        <w:rPr>
          <w:rFonts w:ascii="Arial" w:hAnsi="Arial" w:cs="Arial"/>
          <w:sz w:val="20"/>
          <w:szCs w:val="20"/>
        </w:rPr>
      </w:pPr>
      <w:r>
        <w:rPr>
          <w:rFonts w:ascii="Arial" w:hAnsi="Arial" w:cs="Arial"/>
          <w:sz w:val="20"/>
          <w:szCs w:val="20"/>
        </w:rPr>
        <w:t>se sídlem: Tibetská 806/4, Praha 6 – Vokovice, PSČ 160 00</w:t>
      </w:r>
      <w:r w:rsidR="008435EF" w:rsidRPr="005E3C76">
        <w:rPr>
          <w:rFonts w:ascii="Arial" w:hAnsi="Arial" w:cs="Arial"/>
          <w:sz w:val="20"/>
          <w:szCs w:val="20"/>
        </w:rPr>
        <w:tab/>
      </w:r>
      <w:r w:rsidR="008435EF">
        <w:rPr>
          <w:rFonts w:ascii="Arial" w:hAnsi="Arial" w:cs="Arial"/>
          <w:sz w:val="20"/>
          <w:szCs w:val="20"/>
        </w:rPr>
        <w:tab/>
      </w:r>
      <w:r w:rsidR="008435EF">
        <w:rPr>
          <w:rFonts w:ascii="Arial" w:hAnsi="Arial" w:cs="Arial"/>
          <w:sz w:val="20"/>
          <w:szCs w:val="20"/>
        </w:rPr>
        <w:tab/>
      </w:r>
      <w:r w:rsidR="008435EF">
        <w:rPr>
          <w:rFonts w:ascii="Arial" w:hAnsi="Arial" w:cs="Arial"/>
          <w:sz w:val="20"/>
          <w:szCs w:val="20"/>
        </w:rPr>
        <w:tab/>
      </w:r>
      <w:r w:rsidR="008435EF">
        <w:rPr>
          <w:rFonts w:ascii="Arial" w:hAnsi="Arial" w:cs="Arial"/>
          <w:sz w:val="20"/>
          <w:szCs w:val="20"/>
        </w:rPr>
        <w:tab/>
      </w:r>
    </w:p>
    <w:p w:rsidR="008435EF" w:rsidRPr="00930B26" w:rsidRDefault="008435EF" w:rsidP="008435EF">
      <w:pPr>
        <w:rPr>
          <w:rFonts w:ascii="Arial" w:hAnsi="Arial" w:cs="Arial"/>
          <w:bCs/>
          <w:sz w:val="20"/>
          <w:szCs w:val="20"/>
        </w:rPr>
      </w:pPr>
      <w:r w:rsidRPr="005E3C76">
        <w:rPr>
          <w:rFonts w:ascii="Arial" w:hAnsi="Arial" w:cs="Arial"/>
          <w:sz w:val="20"/>
          <w:szCs w:val="20"/>
        </w:rPr>
        <w:t>IČO:</w:t>
      </w:r>
      <w:r>
        <w:rPr>
          <w:rFonts w:ascii="Arial" w:hAnsi="Arial" w:cs="Arial"/>
          <w:sz w:val="20"/>
          <w:szCs w:val="20"/>
        </w:rPr>
        <w:t xml:space="preserve"> 28391683</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8435EF" w:rsidRPr="005E3C76" w:rsidRDefault="008435EF" w:rsidP="008435EF">
      <w:pPr>
        <w:rPr>
          <w:rFonts w:ascii="Arial" w:hAnsi="Arial" w:cs="Arial"/>
          <w:sz w:val="20"/>
          <w:szCs w:val="20"/>
        </w:rPr>
      </w:pPr>
      <w:r w:rsidRPr="005E3C76">
        <w:rPr>
          <w:rFonts w:ascii="Arial" w:hAnsi="Arial" w:cs="Arial"/>
          <w:sz w:val="20"/>
          <w:szCs w:val="20"/>
        </w:rPr>
        <w:t>zastoupen</w:t>
      </w:r>
      <w:r>
        <w:rPr>
          <w:rFonts w:ascii="Arial" w:hAnsi="Arial" w:cs="Arial"/>
          <w:sz w:val="20"/>
          <w:szCs w:val="20"/>
        </w:rPr>
        <w:t>á</w:t>
      </w:r>
      <w:r w:rsidRPr="005E3C76">
        <w:rPr>
          <w:rFonts w:ascii="Arial" w:hAnsi="Arial" w:cs="Arial"/>
          <w:sz w:val="20"/>
          <w:szCs w:val="20"/>
        </w:rPr>
        <w:t xml:space="preserve">: </w:t>
      </w:r>
      <w:r w:rsidR="001F656D">
        <w:rPr>
          <w:rFonts w:ascii="Arial" w:hAnsi="Arial" w:cs="Arial"/>
          <w:sz w:val="20"/>
          <w:szCs w:val="20"/>
        </w:rPr>
        <w:t>MUDr. Helenou Šamonil, jednatelkou</w:t>
      </w:r>
      <w:r>
        <w:rPr>
          <w:rFonts w:ascii="Arial" w:hAnsi="Arial" w:cs="Arial"/>
          <w:sz w:val="20"/>
          <w:szCs w:val="20"/>
        </w:rPr>
        <w:tab/>
      </w:r>
      <w:r>
        <w:rPr>
          <w:rFonts w:ascii="Arial" w:hAnsi="Arial" w:cs="Arial"/>
          <w:sz w:val="20"/>
          <w:szCs w:val="20"/>
        </w:rPr>
        <w:tab/>
      </w:r>
      <w:r>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8435EF" w:rsidRPr="005E3C76" w:rsidRDefault="008435EF" w:rsidP="008435EF">
      <w:pPr>
        <w:rPr>
          <w:rFonts w:ascii="Arial" w:hAnsi="Arial" w:cs="Arial"/>
          <w:sz w:val="20"/>
          <w:szCs w:val="20"/>
        </w:rPr>
      </w:pPr>
      <w:r w:rsidRPr="005E3C76">
        <w:rPr>
          <w:rFonts w:ascii="Arial" w:hAnsi="Arial" w:cs="Arial"/>
          <w:sz w:val="20"/>
          <w:szCs w:val="20"/>
        </w:rPr>
        <w:t>bankovní spojení:</w:t>
      </w:r>
      <w:r>
        <w:rPr>
          <w:rFonts w:ascii="Arial" w:hAnsi="Arial" w:cs="Arial"/>
          <w:sz w:val="20"/>
          <w:szCs w:val="20"/>
        </w:rPr>
        <w:t xml:space="preserve"> </w:t>
      </w:r>
      <w:proofErr w:type="spellStart"/>
      <w:r w:rsidR="00BD030A">
        <w:rPr>
          <w:rFonts w:ascii="Arial" w:hAnsi="Arial" w:cs="Arial"/>
          <w:sz w:val="20"/>
          <w:szCs w:val="20"/>
        </w:rPr>
        <w:t>Fio</w:t>
      </w:r>
      <w:proofErr w:type="spellEnd"/>
      <w:r w:rsidR="00BD030A">
        <w:rPr>
          <w:rFonts w:ascii="Arial" w:hAnsi="Arial" w:cs="Arial"/>
          <w:sz w:val="20"/>
          <w:szCs w:val="20"/>
        </w:rPr>
        <w:t xml:space="preserve"> Banka a.s. číslo účtu </w:t>
      </w:r>
      <w:r>
        <w:rPr>
          <w:rFonts w:ascii="Arial" w:hAnsi="Arial" w:cs="Arial"/>
          <w:sz w:val="20"/>
          <w:szCs w:val="20"/>
        </w:rPr>
        <w:t>2100635870/2010</w:t>
      </w:r>
      <w:r w:rsidR="00BD030A">
        <w:rPr>
          <w:rFonts w:ascii="Arial" w:hAnsi="Arial" w:cs="Arial"/>
          <w:sz w:val="20"/>
          <w:szCs w:val="20"/>
        </w:rPr>
        <w:t>, Komerční banka, a.s. číslo účtu 43-4889890287/0100</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8435EF" w:rsidRPr="005E3C76" w:rsidRDefault="008435EF" w:rsidP="008435EF">
      <w:pPr>
        <w:rPr>
          <w:rFonts w:ascii="Arial" w:hAnsi="Arial" w:cs="Arial"/>
          <w:sz w:val="20"/>
          <w:szCs w:val="20"/>
        </w:rPr>
      </w:pPr>
      <w:r w:rsidRPr="005E3C76">
        <w:rPr>
          <w:rFonts w:ascii="Arial" w:hAnsi="Arial" w:cs="Arial"/>
          <w:sz w:val="20"/>
          <w:szCs w:val="20"/>
        </w:rPr>
        <w:t xml:space="preserve">(dále jen Příjemce) </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8435EF" w:rsidRPr="005E3C76" w:rsidRDefault="008435EF" w:rsidP="008435EF">
      <w:pPr>
        <w:rPr>
          <w:rFonts w:ascii="Arial" w:hAnsi="Arial" w:cs="Arial"/>
          <w:sz w:val="20"/>
          <w:szCs w:val="20"/>
        </w:rPr>
      </w:pP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8435EF" w:rsidRPr="005E3C76" w:rsidRDefault="008435EF" w:rsidP="008435EF">
      <w:pPr>
        <w:rPr>
          <w:rFonts w:ascii="Arial" w:hAnsi="Arial" w:cs="Arial"/>
          <w:sz w:val="20"/>
          <w:szCs w:val="20"/>
        </w:rPr>
      </w:pPr>
      <w:r w:rsidRPr="005E3C76">
        <w:rPr>
          <w:rFonts w:ascii="Arial" w:hAnsi="Arial" w:cs="Arial"/>
          <w:sz w:val="20"/>
          <w:szCs w:val="20"/>
        </w:rPr>
        <w:t>uzavírají tuto smlouvu:</w:t>
      </w:r>
    </w:p>
    <w:p w:rsidR="008435EF" w:rsidRPr="005E3C76" w:rsidRDefault="008435EF" w:rsidP="008435EF">
      <w:pPr>
        <w:pStyle w:val="NoteHead"/>
        <w:spacing w:after="0"/>
        <w:outlineLvl w:val="0"/>
        <w:rPr>
          <w:rFonts w:ascii="Arial" w:hAnsi="Arial" w:cs="Arial"/>
          <w:sz w:val="20"/>
          <w:szCs w:val="20"/>
        </w:rPr>
      </w:pPr>
      <w:r w:rsidRPr="005E3C76">
        <w:rPr>
          <w:rFonts w:ascii="Arial" w:hAnsi="Arial" w:cs="Arial"/>
          <w:sz w:val="20"/>
          <w:szCs w:val="20"/>
        </w:rPr>
        <w:t>II.</w:t>
      </w:r>
    </w:p>
    <w:p w:rsidR="008435EF" w:rsidRPr="005E3C76" w:rsidRDefault="008435EF" w:rsidP="008435EF">
      <w:pPr>
        <w:pStyle w:val="NoteHead"/>
        <w:spacing w:after="10"/>
        <w:rPr>
          <w:rFonts w:ascii="Arial" w:hAnsi="Arial" w:cs="Arial"/>
          <w:sz w:val="20"/>
          <w:szCs w:val="20"/>
        </w:rPr>
      </w:pPr>
      <w:r w:rsidRPr="005E3C76">
        <w:rPr>
          <w:rFonts w:ascii="Arial" w:hAnsi="Arial" w:cs="Arial"/>
          <w:sz w:val="20"/>
          <w:szCs w:val="20"/>
        </w:rPr>
        <w:t>Předmět a účel smlouvy</w:t>
      </w:r>
    </w:p>
    <w:p w:rsidR="008435EF" w:rsidRPr="005E3C76" w:rsidRDefault="008435EF" w:rsidP="008435EF">
      <w:pPr>
        <w:pStyle w:val="Zkladntextodsazen"/>
        <w:ind w:left="0" w:firstLine="0"/>
        <w:rPr>
          <w:rFonts w:ascii="Arial" w:hAnsi="Arial" w:cs="Arial"/>
          <w:bCs/>
          <w:sz w:val="20"/>
          <w:szCs w:val="20"/>
        </w:rPr>
      </w:pPr>
    </w:p>
    <w:p w:rsidR="008435EF" w:rsidRPr="005E3C76" w:rsidRDefault="008435EF" w:rsidP="008435EF">
      <w:pPr>
        <w:pStyle w:val="Zkladntextodsazen"/>
        <w:jc w:val="both"/>
        <w:rPr>
          <w:rFonts w:ascii="Arial" w:hAnsi="Arial" w:cs="Arial"/>
          <w:i/>
          <w:sz w:val="20"/>
          <w:szCs w:val="20"/>
        </w:rPr>
      </w:pPr>
      <w:r w:rsidRPr="005E3C76">
        <w:rPr>
          <w:rFonts w:ascii="Arial" w:hAnsi="Arial" w:cs="Arial"/>
          <w:bCs/>
          <w:sz w:val="20"/>
          <w:szCs w:val="20"/>
        </w:rPr>
        <w:t xml:space="preserve">1) </w:t>
      </w:r>
      <w:r w:rsidRPr="005E3C76">
        <w:rPr>
          <w:rFonts w:ascii="Arial" w:hAnsi="Arial" w:cs="Arial"/>
          <w:sz w:val="20"/>
          <w:szCs w:val="20"/>
        </w:rPr>
        <w:t>Město se zavazuje poskytnout v souladu s </w:t>
      </w:r>
      <w:r w:rsidRPr="00D311EC">
        <w:rPr>
          <w:rFonts w:ascii="Arial" w:hAnsi="Arial" w:cs="Arial"/>
          <w:sz w:val="20"/>
          <w:szCs w:val="20"/>
        </w:rPr>
        <w:t>usnesením Zastupitelstva města Jihlavy  č.</w:t>
      </w:r>
      <w:r w:rsidR="00586EED">
        <w:rPr>
          <w:rFonts w:ascii="Arial" w:hAnsi="Arial" w:cs="Arial"/>
          <w:sz w:val="20"/>
          <w:szCs w:val="20"/>
        </w:rPr>
        <w:t xml:space="preserve">  …  /25 –  ZM  ze dne 24. 6. 2025</w:t>
      </w:r>
      <w:r w:rsidR="0054615A">
        <w:rPr>
          <w:rFonts w:ascii="Arial" w:hAnsi="Arial" w:cs="Arial"/>
          <w:sz w:val="20"/>
          <w:szCs w:val="20"/>
        </w:rPr>
        <w:t xml:space="preserve"> </w:t>
      </w:r>
      <w:r w:rsidR="00297A55">
        <w:rPr>
          <w:rFonts w:ascii="Arial" w:hAnsi="Arial" w:cs="Arial"/>
          <w:sz w:val="20"/>
          <w:szCs w:val="20"/>
        </w:rPr>
        <w:t xml:space="preserve">Příjemci peněžní </w:t>
      </w:r>
      <w:r w:rsidRPr="00D311EC">
        <w:rPr>
          <w:rFonts w:ascii="Arial" w:hAnsi="Arial" w:cs="Arial"/>
          <w:sz w:val="20"/>
          <w:szCs w:val="20"/>
        </w:rPr>
        <w:t xml:space="preserve">prostředky z rozpočtu statutárního města Jihlavy (dotace) ve výši </w:t>
      </w:r>
      <w:r w:rsidR="001F656D">
        <w:rPr>
          <w:rFonts w:ascii="Arial" w:hAnsi="Arial" w:cs="Arial"/>
          <w:b/>
          <w:sz w:val="20"/>
          <w:szCs w:val="20"/>
        </w:rPr>
        <w:t>9</w:t>
      </w:r>
      <w:r w:rsidRPr="00D311EC">
        <w:rPr>
          <w:rFonts w:ascii="Arial" w:hAnsi="Arial" w:cs="Arial"/>
          <w:b/>
          <w:sz w:val="20"/>
          <w:szCs w:val="20"/>
        </w:rPr>
        <w:t>50 000 Kč</w:t>
      </w:r>
      <w:r w:rsidR="001F656D">
        <w:rPr>
          <w:rFonts w:ascii="Arial" w:hAnsi="Arial" w:cs="Arial"/>
          <w:sz w:val="20"/>
          <w:szCs w:val="20"/>
        </w:rPr>
        <w:t xml:space="preserve"> (slovy: Devět</w:t>
      </w:r>
      <w:r w:rsidRPr="00D311EC">
        <w:rPr>
          <w:rFonts w:ascii="Arial" w:hAnsi="Arial" w:cs="Arial"/>
          <w:sz w:val="20"/>
          <w:szCs w:val="20"/>
        </w:rPr>
        <w:t xml:space="preserve"> set padesát tisíc korun českých) na projekt v oblasti kultura</w:t>
      </w:r>
      <w:r w:rsidRPr="00D311EC">
        <w:rPr>
          <w:rFonts w:ascii="Arial" w:hAnsi="Arial" w:cs="Arial"/>
          <w:i/>
          <w:sz w:val="20"/>
          <w:szCs w:val="20"/>
        </w:rPr>
        <w:t xml:space="preserve"> </w:t>
      </w:r>
      <w:r w:rsidR="00586EED">
        <w:rPr>
          <w:rFonts w:ascii="Arial" w:hAnsi="Arial" w:cs="Arial"/>
          <w:b/>
          <w:sz w:val="20"/>
          <w:szCs w:val="20"/>
        </w:rPr>
        <w:t xml:space="preserve">„Provoz </w:t>
      </w:r>
      <w:r w:rsidRPr="00D311EC">
        <w:rPr>
          <w:rFonts w:ascii="Arial" w:hAnsi="Arial" w:cs="Arial"/>
          <w:b/>
          <w:sz w:val="20"/>
          <w:szCs w:val="20"/>
        </w:rPr>
        <w:t>kina Dukla</w:t>
      </w:r>
      <w:r w:rsidR="00586EED">
        <w:rPr>
          <w:rFonts w:ascii="Arial" w:hAnsi="Arial" w:cs="Arial"/>
          <w:b/>
          <w:sz w:val="20"/>
          <w:szCs w:val="20"/>
        </w:rPr>
        <w:t xml:space="preserve"> v roce 2025</w:t>
      </w:r>
      <w:r w:rsidRPr="00D311EC">
        <w:rPr>
          <w:rFonts w:ascii="Arial" w:hAnsi="Arial" w:cs="Arial"/>
          <w:b/>
          <w:sz w:val="20"/>
          <w:szCs w:val="20"/>
        </w:rPr>
        <w:t>“</w:t>
      </w:r>
      <w:r w:rsidRPr="00D311EC">
        <w:rPr>
          <w:rFonts w:ascii="Arial" w:hAnsi="Arial" w:cs="Arial"/>
          <w:sz w:val="20"/>
          <w:szCs w:val="20"/>
        </w:rPr>
        <w:t xml:space="preserve"> (projekt).</w:t>
      </w:r>
    </w:p>
    <w:p w:rsidR="008435EF" w:rsidRPr="00D311EC" w:rsidRDefault="008435EF" w:rsidP="008435EF">
      <w:pPr>
        <w:pStyle w:val="Zkladntextodsazen"/>
        <w:jc w:val="both"/>
        <w:rPr>
          <w:rFonts w:ascii="Arial" w:hAnsi="Arial" w:cs="Arial"/>
          <w:i/>
          <w:sz w:val="10"/>
          <w:szCs w:val="10"/>
        </w:rPr>
      </w:pPr>
    </w:p>
    <w:p w:rsidR="008435EF" w:rsidRPr="005E3C76" w:rsidRDefault="00297A55" w:rsidP="008435EF">
      <w:pPr>
        <w:jc w:val="both"/>
        <w:rPr>
          <w:rFonts w:ascii="Arial" w:hAnsi="Arial" w:cs="Arial"/>
          <w:bCs/>
          <w:sz w:val="20"/>
          <w:szCs w:val="20"/>
        </w:rPr>
      </w:pPr>
      <w:r>
        <w:rPr>
          <w:rFonts w:ascii="Arial" w:hAnsi="Arial" w:cs="Arial"/>
          <w:sz w:val="20"/>
          <w:szCs w:val="20"/>
        </w:rPr>
        <w:t xml:space="preserve">2) Z dotace </w:t>
      </w:r>
      <w:r w:rsidR="005608D8">
        <w:rPr>
          <w:rFonts w:ascii="Arial" w:hAnsi="Arial" w:cs="Arial"/>
          <w:sz w:val="20"/>
          <w:szCs w:val="20"/>
        </w:rPr>
        <w:t>lze</w:t>
      </w:r>
      <w:r>
        <w:rPr>
          <w:rFonts w:ascii="Arial" w:hAnsi="Arial" w:cs="Arial"/>
          <w:sz w:val="20"/>
          <w:szCs w:val="20"/>
        </w:rPr>
        <w:t xml:space="preserve"> hradit náklady související s projektem</w:t>
      </w:r>
      <w:r w:rsidR="008435EF" w:rsidRPr="005E3C76">
        <w:rPr>
          <w:rFonts w:ascii="Arial" w:hAnsi="Arial" w:cs="Arial"/>
          <w:sz w:val="20"/>
          <w:szCs w:val="20"/>
        </w:rPr>
        <w:t>:</w:t>
      </w:r>
    </w:p>
    <w:p w:rsidR="008435EF" w:rsidRPr="005A650D" w:rsidRDefault="008435EF" w:rsidP="008435EF">
      <w:pPr>
        <w:numPr>
          <w:ilvl w:val="1"/>
          <w:numId w:val="12"/>
        </w:numPr>
        <w:jc w:val="both"/>
        <w:rPr>
          <w:rFonts w:ascii="Arial" w:hAnsi="Arial" w:cs="Arial"/>
          <w:sz w:val="20"/>
          <w:szCs w:val="20"/>
        </w:rPr>
      </w:pPr>
      <w:r w:rsidRPr="005A650D">
        <w:rPr>
          <w:rFonts w:ascii="Arial" w:hAnsi="Arial" w:cs="Arial"/>
          <w:sz w:val="20"/>
          <w:szCs w:val="20"/>
        </w:rPr>
        <w:t>na pronájem prostor včetně ostatních služeb s nájmem bezprostředně souvisejících,</w:t>
      </w:r>
    </w:p>
    <w:p w:rsidR="008435EF" w:rsidRPr="005A650D" w:rsidRDefault="008435EF" w:rsidP="008435EF">
      <w:pPr>
        <w:numPr>
          <w:ilvl w:val="1"/>
          <w:numId w:val="12"/>
        </w:numPr>
        <w:jc w:val="both"/>
        <w:rPr>
          <w:rFonts w:ascii="Arial" w:hAnsi="Arial" w:cs="Arial"/>
          <w:sz w:val="20"/>
          <w:szCs w:val="20"/>
        </w:rPr>
      </w:pPr>
      <w:r w:rsidRPr="005A650D">
        <w:rPr>
          <w:rFonts w:ascii="Arial" w:hAnsi="Arial" w:cs="Arial"/>
          <w:sz w:val="20"/>
          <w:szCs w:val="20"/>
        </w:rPr>
        <w:t>na energie (plyn, elektřina, voda)</w:t>
      </w:r>
      <w:r w:rsidR="009B05CA">
        <w:rPr>
          <w:rFonts w:ascii="Arial" w:hAnsi="Arial" w:cs="Arial"/>
          <w:sz w:val="20"/>
          <w:szCs w:val="20"/>
        </w:rPr>
        <w:t xml:space="preserve"> a služby spojené s provozem</w:t>
      </w:r>
      <w:r w:rsidRPr="005A650D">
        <w:rPr>
          <w:rFonts w:ascii="Arial" w:hAnsi="Arial" w:cs="Arial"/>
          <w:sz w:val="20"/>
          <w:szCs w:val="20"/>
        </w:rPr>
        <w:t>,</w:t>
      </w:r>
    </w:p>
    <w:p w:rsidR="008435EF" w:rsidRPr="00D311EC" w:rsidRDefault="008435EF" w:rsidP="008435EF">
      <w:pPr>
        <w:numPr>
          <w:ilvl w:val="1"/>
          <w:numId w:val="12"/>
        </w:numPr>
        <w:jc w:val="both"/>
        <w:rPr>
          <w:rFonts w:ascii="Arial" w:hAnsi="Arial" w:cs="Arial"/>
          <w:sz w:val="20"/>
          <w:szCs w:val="20"/>
        </w:rPr>
      </w:pPr>
      <w:r w:rsidRPr="005A650D">
        <w:rPr>
          <w:rFonts w:ascii="Arial" w:hAnsi="Arial" w:cs="Arial"/>
          <w:sz w:val="20"/>
          <w:szCs w:val="20"/>
        </w:rPr>
        <w:t xml:space="preserve">na půjčovné filmů. </w:t>
      </w:r>
    </w:p>
    <w:p w:rsidR="008435EF" w:rsidRDefault="008435EF" w:rsidP="008435EF">
      <w:pPr>
        <w:jc w:val="both"/>
        <w:rPr>
          <w:rFonts w:ascii="Arial" w:hAnsi="Arial" w:cs="Arial"/>
          <w:sz w:val="20"/>
          <w:szCs w:val="20"/>
        </w:rPr>
      </w:pPr>
    </w:p>
    <w:p w:rsidR="008435EF" w:rsidRPr="005E3C76" w:rsidRDefault="008435EF" w:rsidP="008435EF">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p>
    <w:p w:rsidR="008435EF" w:rsidRPr="00D311EC" w:rsidRDefault="008435EF" w:rsidP="008435EF">
      <w:pPr>
        <w:jc w:val="both"/>
        <w:rPr>
          <w:rFonts w:ascii="Arial" w:hAnsi="Arial" w:cs="Arial"/>
          <w:b/>
          <w:i/>
          <w:color w:val="FF0000"/>
          <w:sz w:val="10"/>
          <w:szCs w:val="10"/>
        </w:rPr>
      </w:pPr>
    </w:p>
    <w:p w:rsidR="008435EF" w:rsidRDefault="00297A55" w:rsidP="008435EF">
      <w:pPr>
        <w:jc w:val="both"/>
        <w:rPr>
          <w:rFonts w:ascii="Arial" w:hAnsi="Arial" w:cs="Arial"/>
          <w:sz w:val="20"/>
          <w:szCs w:val="20"/>
        </w:rPr>
      </w:pPr>
      <w:r>
        <w:rPr>
          <w:rFonts w:ascii="Arial" w:hAnsi="Arial" w:cs="Arial"/>
          <w:sz w:val="20"/>
          <w:szCs w:val="20"/>
        </w:rPr>
        <w:t>3) Závazná náplň</w:t>
      </w:r>
      <w:r w:rsidR="008435EF" w:rsidRPr="005E3C76">
        <w:rPr>
          <w:rFonts w:ascii="Arial" w:hAnsi="Arial" w:cs="Arial"/>
          <w:sz w:val="20"/>
          <w:szCs w:val="20"/>
        </w:rPr>
        <w:t xml:space="preserve"> projektu:</w:t>
      </w:r>
    </w:p>
    <w:p w:rsidR="008435EF" w:rsidRDefault="008435EF" w:rsidP="008435EF">
      <w:pPr>
        <w:rPr>
          <w:rFonts w:ascii="Arial" w:hAnsi="Arial" w:cs="Arial"/>
          <w:sz w:val="20"/>
        </w:rPr>
      </w:pPr>
      <w:r>
        <w:rPr>
          <w:rFonts w:ascii="Arial" w:hAnsi="Arial" w:cs="Arial"/>
          <w:sz w:val="20"/>
        </w:rPr>
        <w:t>HRACÍ PROFIL</w:t>
      </w:r>
    </w:p>
    <w:p w:rsidR="00F84163" w:rsidRPr="00F84163" w:rsidRDefault="00F84163" w:rsidP="00F84163">
      <w:pPr>
        <w:rPr>
          <w:rFonts w:ascii="Arial" w:hAnsi="Arial" w:cs="Arial"/>
          <w:sz w:val="20"/>
        </w:rPr>
      </w:pPr>
      <w:r>
        <w:rPr>
          <w:rFonts w:ascii="Arial" w:hAnsi="Arial" w:cs="Arial"/>
          <w:sz w:val="20"/>
        </w:rPr>
        <w:t>- m</w:t>
      </w:r>
      <w:r w:rsidRPr="00F84163">
        <w:rPr>
          <w:rFonts w:ascii="Arial" w:hAnsi="Arial" w:cs="Arial"/>
          <w:sz w:val="20"/>
        </w:rPr>
        <w:t>inimálně 2 projekce od pondělí do pátku pro mládež a dospělé</w:t>
      </w:r>
      <w:r>
        <w:rPr>
          <w:rFonts w:ascii="Arial" w:hAnsi="Arial" w:cs="Arial"/>
          <w:sz w:val="20"/>
        </w:rPr>
        <w:t>,</w:t>
      </w:r>
    </w:p>
    <w:p w:rsidR="00F84163" w:rsidRPr="00F84163" w:rsidRDefault="00F84163" w:rsidP="00F84163">
      <w:pPr>
        <w:rPr>
          <w:rFonts w:ascii="Arial" w:hAnsi="Arial" w:cs="Arial"/>
          <w:sz w:val="20"/>
        </w:rPr>
      </w:pPr>
      <w:r w:rsidRPr="00F84163">
        <w:rPr>
          <w:rFonts w:ascii="Arial" w:hAnsi="Arial" w:cs="Arial"/>
          <w:sz w:val="20"/>
        </w:rPr>
        <w:t>- 1x týdně nekomerční filmy, ART kino leden - červen, září - prosinec (tj. mimo letní školní prázdniny)</w:t>
      </w:r>
      <w:r>
        <w:rPr>
          <w:rFonts w:ascii="Arial" w:hAnsi="Arial" w:cs="Arial"/>
          <w:sz w:val="20"/>
        </w:rPr>
        <w:t xml:space="preserve">, </w:t>
      </w:r>
      <w:r w:rsidRPr="00F84163">
        <w:rPr>
          <w:rFonts w:ascii="Arial" w:hAnsi="Arial" w:cs="Arial"/>
          <w:sz w:val="20"/>
        </w:rPr>
        <w:t xml:space="preserve">                                                                                                                                                                                                                                                                                                               - 4-5 projekcí v sobotu a v</w:t>
      </w:r>
      <w:r>
        <w:rPr>
          <w:rFonts w:ascii="Arial" w:hAnsi="Arial" w:cs="Arial"/>
          <w:sz w:val="20"/>
        </w:rPr>
        <w:t> </w:t>
      </w:r>
      <w:r w:rsidRPr="00F84163">
        <w:rPr>
          <w:rFonts w:ascii="Arial" w:hAnsi="Arial" w:cs="Arial"/>
          <w:sz w:val="20"/>
        </w:rPr>
        <w:t>neděli</w:t>
      </w:r>
      <w:r>
        <w:rPr>
          <w:rFonts w:ascii="Arial" w:hAnsi="Arial" w:cs="Arial"/>
          <w:sz w:val="20"/>
        </w:rPr>
        <w:t xml:space="preserve">, </w:t>
      </w:r>
    </w:p>
    <w:p w:rsidR="00F84163" w:rsidRPr="00F84163" w:rsidRDefault="00F84163" w:rsidP="00F84163">
      <w:pPr>
        <w:rPr>
          <w:rFonts w:ascii="Arial" w:hAnsi="Arial" w:cs="Arial"/>
          <w:sz w:val="20"/>
        </w:rPr>
      </w:pPr>
      <w:r w:rsidRPr="00F84163">
        <w:rPr>
          <w:rFonts w:ascii="Arial" w:hAnsi="Arial" w:cs="Arial"/>
          <w:sz w:val="20"/>
        </w:rPr>
        <w:t>- minimálně 1 projekce týdně pro děti</w:t>
      </w:r>
      <w:r>
        <w:rPr>
          <w:rFonts w:ascii="Arial" w:hAnsi="Arial" w:cs="Arial"/>
          <w:sz w:val="20"/>
        </w:rPr>
        <w:t>,</w:t>
      </w:r>
    </w:p>
    <w:p w:rsidR="00F84163" w:rsidRPr="00F84163" w:rsidRDefault="00F84163" w:rsidP="00F84163">
      <w:pPr>
        <w:rPr>
          <w:rFonts w:ascii="Arial" w:hAnsi="Arial" w:cs="Arial"/>
          <w:sz w:val="20"/>
        </w:rPr>
      </w:pPr>
      <w:r w:rsidRPr="00F84163">
        <w:rPr>
          <w:rFonts w:ascii="Arial" w:hAnsi="Arial" w:cs="Arial"/>
          <w:sz w:val="20"/>
        </w:rPr>
        <w:t>- Bio senior za snížené vstupné, projekce pro školy a školky</w:t>
      </w:r>
      <w:r>
        <w:rPr>
          <w:rFonts w:ascii="Arial" w:hAnsi="Arial" w:cs="Arial"/>
          <w:sz w:val="20"/>
        </w:rPr>
        <w:t>,</w:t>
      </w:r>
      <w:r w:rsidR="0054615A">
        <w:rPr>
          <w:rFonts w:ascii="Arial" w:hAnsi="Arial" w:cs="Arial"/>
          <w:sz w:val="20"/>
        </w:rPr>
        <w:t xml:space="preserve"> dámské jízdy s doprovodným programem, </w:t>
      </w:r>
    </w:p>
    <w:p w:rsidR="00F84163" w:rsidRPr="00F84163" w:rsidRDefault="00F84163" w:rsidP="00F84163">
      <w:pPr>
        <w:rPr>
          <w:rFonts w:ascii="Arial" w:hAnsi="Arial" w:cs="Arial"/>
          <w:sz w:val="20"/>
        </w:rPr>
      </w:pPr>
      <w:r>
        <w:rPr>
          <w:rFonts w:ascii="Arial" w:hAnsi="Arial" w:cs="Arial"/>
          <w:sz w:val="20"/>
        </w:rPr>
        <w:t>- a</w:t>
      </w:r>
      <w:r w:rsidRPr="00F84163">
        <w:rPr>
          <w:rFonts w:ascii="Arial" w:hAnsi="Arial" w:cs="Arial"/>
          <w:sz w:val="20"/>
        </w:rPr>
        <w:t>lternativní (LIVE) program – přímé přenosy z divadla, záznamy oper a výstav v HD kvalitě</w:t>
      </w:r>
      <w:r>
        <w:rPr>
          <w:rFonts w:ascii="Arial" w:hAnsi="Arial" w:cs="Arial"/>
          <w:sz w:val="20"/>
        </w:rPr>
        <w:t xml:space="preserve">, </w:t>
      </w:r>
    </w:p>
    <w:p w:rsidR="00F84163" w:rsidRPr="00F84163" w:rsidRDefault="00F84163" w:rsidP="00F84163">
      <w:pPr>
        <w:rPr>
          <w:rFonts w:ascii="Arial" w:hAnsi="Arial" w:cs="Arial"/>
          <w:sz w:val="20"/>
        </w:rPr>
      </w:pPr>
      <w:r>
        <w:rPr>
          <w:rFonts w:ascii="Arial" w:hAnsi="Arial" w:cs="Arial"/>
          <w:sz w:val="20"/>
        </w:rPr>
        <w:t>- z</w:t>
      </w:r>
      <w:r w:rsidRPr="00F84163">
        <w:rPr>
          <w:rFonts w:ascii="Arial" w:hAnsi="Arial" w:cs="Arial"/>
          <w:sz w:val="20"/>
        </w:rPr>
        <w:t>achování filmového klubu</w:t>
      </w:r>
      <w:r>
        <w:rPr>
          <w:rFonts w:ascii="Arial" w:hAnsi="Arial" w:cs="Arial"/>
          <w:sz w:val="20"/>
        </w:rPr>
        <w:t>,</w:t>
      </w:r>
      <w:r w:rsidRPr="00F84163">
        <w:rPr>
          <w:rFonts w:ascii="Arial" w:hAnsi="Arial" w:cs="Arial"/>
          <w:sz w:val="20"/>
        </w:rPr>
        <w:t xml:space="preserve"> </w:t>
      </w:r>
    </w:p>
    <w:p w:rsidR="002235DE" w:rsidRDefault="00F84163" w:rsidP="00F84163">
      <w:pPr>
        <w:rPr>
          <w:rFonts w:ascii="Arial" w:hAnsi="Arial" w:cs="Arial"/>
          <w:sz w:val="20"/>
        </w:rPr>
      </w:pPr>
      <w:r>
        <w:rPr>
          <w:rFonts w:ascii="Arial" w:hAnsi="Arial" w:cs="Arial"/>
          <w:sz w:val="20"/>
        </w:rPr>
        <w:t>- d</w:t>
      </w:r>
      <w:r w:rsidRPr="00F84163">
        <w:rPr>
          <w:rFonts w:ascii="Arial" w:hAnsi="Arial" w:cs="Arial"/>
          <w:sz w:val="20"/>
        </w:rPr>
        <w:t>oprovodný a speciální program za účasti filmových delegací či přednášky k tématu daného filmu</w:t>
      </w:r>
      <w:r w:rsidR="0054615A">
        <w:rPr>
          <w:rFonts w:ascii="Arial" w:hAnsi="Arial" w:cs="Arial"/>
          <w:sz w:val="20"/>
        </w:rPr>
        <w:t xml:space="preserve">, </w:t>
      </w:r>
    </w:p>
    <w:p w:rsidR="0054615A" w:rsidRDefault="0054615A" w:rsidP="00F84163">
      <w:pPr>
        <w:rPr>
          <w:rFonts w:ascii="Arial" w:hAnsi="Arial" w:cs="Arial"/>
          <w:sz w:val="20"/>
        </w:rPr>
      </w:pPr>
      <w:r>
        <w:rPr>
          <w:rFonts w:ascii="Arial" w:hAnsi="Arial" w:cs="Arial"/>
          <w:sz w:val="20"/>
        </w:rPr>
        <w:t xml:space="preserve">- spolupráce s festivaly. </w:t>
      </w:r>
    </w:p>
    <w:p w:rsidR="00F84163" w:rsidRDefault="00F84163" w:rsidP="009E640F">
      <w:pPr>
        <w:jc w:val="both"/>
        <w:rPr>
          <w:rFonts w:ascii="Arial" w:hAnsi="Arial" w:cs="Arial"/>
          <w:sz w:val="20"/>
        </w:rPr>
      </w:pPr>
    </w:p>
    <w:p w:rsidR="008435EF" w:rsidRDefault="00297A55" w:rsidP="008435EF">
      <w:pPr>
        <w:jc w:val="both"/>
        <w:rPr>
          <w:rFonts w:ascii="Arial" w:hAnsi="Arial" w:cs="Arial"/>
          <w:sz w:val="20"/>
        </w:rPr>
      </w:pPr>
      <w:r>
        <w:rPr>
          <w:rFonts w:ascii="Arial" w:hAnsi="Arial" w:cs="Arial"/>
          <w:sz w:val="20"/>
        </w:rPr>
        <w:t>Termín realizace</w:t>
      </w:r>
      <w:r w:rsidR="00586EED">
        <w:rPr>
          <w:rFonts w:ascii="Arial" w:hAnsi="Arial" w:cs="Arial"/>
          <w:sz w:val="20"/>
        </w:rPr>
        <w:t xml:space="preserve"> projektu: leden – prosinec 2025</w:t>
      </w:r>
      <w:r w:rsidR="00F84163">
        <w:rPr>
          <w:rFonts w:ascii="Arial" w:hAnsi="Arial" w:cs="Arial"/>
          <w:sz w:val="20"/>
        </w:rPr>
        <w:t>.</w:t>
      </w:r>
    </w:p>
    <w:p w:rsidR="00F84163" w:rsidRPr="005E3C76" w:rsidRDefault="00F84163" w:rsidP="008435EF">
      <w:pPr>
        <w:jc w:val="both"/>
        <w:rPr>
          <w:rFonts w:ascii="Arial" w:hAnsi="Arial" w:cs="Arial"/>
          <w:b/>
          <w:i/>
          <w:color w:val="FF0000"/>
          <w:sz w:val="20"/>
          <w:szCs w:val="20"/>
        </w:rPr>
      </w:pPr>
    </w:p>
    <w:p w:rsidR="008435EF" w:rsidRPr="005E3C76" w:rsidRDefault="008435EF" w:rsidP="008435EF">
      <w:pPr>
        <w:jc w:val="both"/>
        <w:rPr>
          <w:rFonts w:ascii="Arial" w:hAnsi="Arial" w:cs="Arial"/>
          <w:sz w:val="20"/>
          <w:szCs w:val="20"/>
        </w:rPr>
      </w:pPr>
      <w:r w:rsidRPr="005E3C76">
        <w:rPr>
          <w:rFonts w:ascii="Arial" w:hAnsi="Arial" w:cs="Arial"/>
          <w:sz w:val="20"/>
          <w:szCs w:val="20"/>
        </w:rPr>
        <w:t>4)</w:t>
      </w:r>
      <w:r w:rsidR="00297A55">
        <w:rPr>
          <w:rFonts w:ascii="Arial" w:hAnsi="Arial" w:cs="Arial"/>
          <w:sz w:val="20"/>
          <w:szCs w:val="20"/>
        </w:rPr>
        <w:t xml:space="preserve"> Není-li v závazné náplni</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8435EF" w:rsidRPr="005E3C76" w:rsidRDefault="008435EF" w:rsidP="008435EF">
      <w:pPr>
        <w:jc w:val="both"/>
        <w:rPr>
          <w:rFonts w:ascii="Arial" w:hAnsi="Arial" w:cs="Arial"/>
          <w:sz w:val="20"/>
          <w:szCs w:val="20"/>
        </w:rPr>
      </w:pPr>
    </w:p>
    <w:p w:rsidR="008435EF" w:rsidRPr="005E3C76" w:rsidRDefault="008435EF" w:rsidP="008435EF">
      <w:pPr>
        <w:jc w:val="both"/>
        <w:rPr>
          <w:rFonts w:ascii="Arial" w:hAnsi="Arial" w:cs="Arial"/>
          <w:sz w:val="20"/>
          <w:szCs w:val="20"/>
        </w:rPr>
      </w:pPr>
      <w:r w:rsidRPr="005E3C76">
        <w:rPr>
          <w:rFonts w:ascii="Arial" w:hAnsi="Arial" w:cs="Arial"/>
          <w:sz w:val="20"/>
          <w:szCs w:val="20"/>
        </w:rPr>
        <w:t xml:space="preserve">5) Celkové předpokládané náklady na projekt (orientační ukazatel): </w:t>
      </w:r>
      <w:r w:rsidR="00586EED">
        <w:rPr>
          <w:rFonts w:ascii="Arial" w:hAnsi="Arial" w:cs="Arial"/>
          <w:sz w:val="20"/>
          <w:szCs w:val="20"/>
        </w:rPr>
        <w:t>7 080</w:t>
      </w:r>
      <w:r>
        <w:rPr>
          <w:rFonts w:ascii="Arial" w:hAnsi="Arial" w:cs="Arial"/>
          <w:sz w:val="20"/>
          <w:szCs w:val="20"/>
        </w:rPr>
        <w:t xml:space="preserve"> 000</w:t>
      </w:r>
      <w:r w:rsidRPr="005E3C76">
        <w:rPr>
          <w:rFonts w:ascii="Arial" w:hAnsi="Arial" w:cs="Arial"/>
          <w:sz w:val="20"/>
          <w:szCs w:val="20"/>
        </w:rPr>
        <w:t xml:space="preserve"> Kč.</w:t>
      </w:r>
    </w:p>
    <w:p w:rsidR="008435EF" w:rsidRPr="005E3C76" w:rsidRDefault="008435EF" w:rsidP="008435EF">
      <w:pPr>
        <w:jc w:val="both"/>
        <w:rPr>
          <w:rFonts w:ascii="Arial" w:hAnsi="Arial" w:cs="Arial"/>
          <w:i/>
          <w:color w:val="FF0000"/>
          <w:sz w:val="20"/>
          <w:szCs w:val="20"/>
        </w:rPr>
      </w:pPr>
    </w:p>
    <w:p w:rsidR="00C1211A" w:rsidRDefault="008435EF" w:rsidP="009E640F">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F84163" w:rsidRDefault="00F84163" w:rsidP="009E640F">
      <w:pPr>
        <w:pStyle w:val="Zkladntextodsazen"/>
        <w:ind w:left="0" w:firstLine="0"/>
        <w:jc w:val="both"/>
        <w:rPr>
          <w:rFonts w:ascii="Arial" w:hAnsi="Arial" w:cs="Arial"/>
          <w:sz w:val="20"/>
          <w:szCs w:val="20"/>
        </w:rPr>
      </w:pPr>
    </w:p>
    <w:p w:rsidR="008A25B2" w:rsidRDefault="008A25B2" w:rsidP="008435EF">
      <w:pPr>
        <w:pStyle w:val="NoteHead"/>
        <w:spacing w:after="0"/>
        <w:outlineLvl w:val="0"/>
        <w:rPr>
          <w:rFonts w:ascii="Arial" w:hAnsi="Arial" w:cs="Arial"/>
          <w:sz w:val="20"/>
          <w:szCs w:val="20"/>
        </w:rPr>
      </w:pPr>
    </w:p>
    <w:p w:rsidR="008435EF" w:rsidRPr="005E3C76" w:rsidRDefault="008435EF" w:rsidP="008435EF">
      <w:pPr>
        <w:pStyle w:val="NoteHead"/>
        <w:spacing w:after="0"/>
        <w:outlineLvl w:val="0"/>
        <w:rPr>
          <w:rFonts w:ascii="Arial" w:hAnsi="Arial" w:cs="Arial"/>
          <w:sz w:val="20"/>
          <w:szCs w:val="20"/>
        </w:rPr>
      </w:pPr>
      <w:r w:rsidRPr="005E3C76">
        <w:rPr>
          <w:rFonts w:ascii="Arial" w:hAnsi="Arial" w:cs="Arial"/>
          <w:sz w:val="20"/>
          <w:szCs w:val="20"/>
        </w:rPr>
        <w:lastRenderedPageBreak/>
        <w:t>III.</w:t>
      </w:r>
    </w:p>
    <w:p w:rsidR="008435EF" w:rsidRPr="005E3C76" w:rsidRDefault="008435EF" w:rsidP="008435EF">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8435EF" w:rsidRPr="005E3C76" w:rsidRDefault="008435EF" w:rsidP="008435EF">
      <w:pPr>
        <w:pStyle w:val="Zkladntextodsazen"/>
        <w:rPr>
          <w:rFonts w:ascii="Arial" w:hAnsi="Arial" w:cs="Arial"/>
          <w:i/>
          <w:sz w:val="20"/>
          <w:szCs w:val="20"/>
        </w:rPr>
      </w:pPr>
    </w:p>
    <w:p w:rsidR="00CB1812" w:rsidRDefault="008435EF" w:rsidP="00CB1812">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formou bezhotovostního převodu na účet Příjemce</w:t>
      </w:r>
      <w:r w:rsidR="000355B8">
        <w:rPr>
          <w:rFonts w:ascii="Arial" w:hAnsi="Arial" w:cs="Arial"/>
          <w:sz w:val="20"/>
          <w:szCs w:val="20"/>
        </w:rPr>
        <w:t xml:space="preserve"> č. účtu 2100635870/2010</w:t>
      </w:r>
      <w:r w:rsidRPr="005E3C76">
        <w:rPr>
          <w:rFonts w:ascii="Arial" w:hAnsi="Arial" w:cs="Arial"/>
          <w:sz w:val="20"/>
          <w:szCs w:val="20"/>
        </w:rPr>
        <w:t xml:space="preserve"> po podpisu smlouvy oběma smluvními stranami </w:t>
      </w:r>
      <w:r w:rsidRPr="00D311EC">
        <w:rPr>
          <w:rFonts w:ascii="Arial" w:hAnsi="Arial" w:cs="Arial"/>
          <w:sz w:val="20"/>
          <w:szCs w:val="20"/>
        </w:rPr>
        <w:t>v plné výši</w:t>
      </w:r>
      <w:r w:rsidR="000355B8">
        <w:rPr>
          <w:rFonts w:ascii="Arial" w:hAnsi="Arial" w:cs="Arial"/>
          <w:sz w:val="20"/>
          <w:szCs w:val="20"/>
        </w:rPr>
        <w:t xml:space="preserve"> </w:t>
      </w:r>
      <w:r w:rsidR="00F84163">
        <w:rPr>
          <w:rFonts w:ascii="Arial" w:hAnsi="Arial" w:cs="Arial"/>
          <w:sz w:val="20"/>
          <w:szCs w:val="20"/>
        </w:rPr>
        <w:t>9</w:t>
      </w:r>
      <w:r w:rsidRPr="00D311EC">
        <w:rPr>
          <w:rFonts w:ascii="Arial" w:hAnsi="Arial" w:cs="Arial"/>
          <w:sz w:val="20"/>
          <w:szCs w:val="20"/>
        </w:rPr>
        <w:t xml:space="preserve">50 000 Kč v termínu do </w:t>
      </w:r>
      <w:r w:rsidR="00586EED">
        <w:rPr>
          <w:rFonts w:ascii="Arial" w:hAnsi="Arial" w:cs="Arial"/>
          <w:sz w:val="20"/>
          <w:szCs w:val="20"/>
        </w:rPr>
        <w:t>31. 7. 2025</w:t>
      </w:r>
      <w:r>
        <w:rPr>
          <w:rFonts w:ascii="Arial" w:hAnsi="Arial" w:cs="Arial"/>
          <w:sz w:val="20"/>
          <w:szCs w:val="20"/>
        </w:rPr>
        <w:t xml:space="preserve">. </w:t>
      </w:r>
    </w:p>
    <w:p w:rsidR="00CB1812" w:rsidRDefault="00CB1812" w:rsidP="00CB1812">
      <w:pPr>
        <w:pStyle w:val="Zkladntextodsazen"/>
        <w:jc w:val="both"/>
        <w:rPr>
          <w:rFonts w:ascii="Arial" w:hAnsi="Arial" w:cs="Arial"/>
          <w:sz w:val="20"/>
          <w:szCs w:val="20"/>
        </w:rPr>
      </w:pPr>
    </w:p>
    <w:p w:rsidR="00CB1812" w:rsidRDefault="00CB1812" w:rsidP="00CB1812">
      <w:pPr>
        <w:pStyle w:val="Zkladntextodsazen"/>
        <w:jc w:val="both"/>
        <w:rPr>
          <w:rFonts w:ascii="Arial" w:hAnsi="Arial" w:cs="Arial"/>
          <w:sz w:val="20"/>
          <w:szCs w:val="20"/>
        </w:rPr>
      </w:pPr>
      <w:r>
        <w:rPr>
          <w:rFonts w:ascii="Arial" w:hAnsi="Arial" w:cs="Arial"/>
          <w:sz w:val="20"/>
          <w:szCs w:val="20"/>
        </w:rPr>
        <w:t>2) Výše dotace uvedená v čl. II. odst. 1) této smlouvy je maximální.</w:t>
      </w:r>
    </w:p>
    <w:p w:rsidR="006A4316" w:rsidRDefault="006A4316" w:rsidP="006A4316">
      <w:pPr>
        <w:jc w:val="both"/>
        <w:rPr>
          <w:rFonts w:ascii="Arial" w:hAnsi="Arial" w:cs="Arial"/>
          <w:sz w:val="20"/>
          <w:szCs w:val="20"/>
        </w:rPr>
      </w:pPr>
    </w:p>
    <w:p w:rsidR="006A4316" w:rsidRPr="005E3C76" w:rsidRDefault="006A4316" w:rsidP="006A4316">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6A4316" w:rsidRPr="005E3C76" w:rsidRDefault="006A4316" w:rsidP="006A4316">
      <w:pPr>
        <w:pStyle w:val="Zkladntext"/>
        <w:spacing w:after="0"/>
        <w:jc w:val="left"/>
        <w:rPr>
          <w:rFonts w:ascii="Arial" w:hAnsi="Arial" w:cs="Arial"/>
          <w:i/>
          <w:noProof/>
          <w:color w:val="FF0000"/>
          <w:sz w:val="20"/>
          <w:szCs w:val="20"/>
          <w:u w:val="single"/>
          <w:lang w:val="cs-CZ"/>
        </w:rPr>
      </w:pPr>
    </w:p>
    <w:p w:rsidR="006A4316" w:rsidRPr="005E3C76" w:rsidRDefault="006A4316" w:rsidP="006A4316">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6A4316" w:rsidRDefault="006A4316" w:rsidP="00CB1812">
      <w:pPr>
        <w:pStyle w:val="Zkladntextodsazen"/>
        <w:jc w:val="both"/>
        <w:rPr>
          <w:rFonts w:ascii="Arial" w:hAnsi="Arial" w:cs="Arial"/>
          <w:sz w:val="20"/>
          <w:szCs w:val="20"/>
        </w:rPr>
      </w:pPr>
    </w:p>
    <w:p w:rsidR="004F3F78" w:rsidRDefault="00E17ADA" w:rsidP="004F3F78">
      <w:pPr>
        <w:pStyle w:val="Zkladntext"/>
        <w:spacing w:after="0"/>
        <w:rPr>
          <w:rFonts w:ascii="Arial" w:hAnsi="Arial" w:cs="Arial"/>
          <w:sz w:val="20"/>
          <w:szCs w:val="20"/>
          <w:lang w:val="cs-CZ"/>
        </w:rPr>
      </w:pPr>
      <w:r>
        <w:rPr>
          <w:rFonts w:ascii="Arial" w:hAnsi="Arial" w:cs="Arial"/>
          <w:b/>
          <w:sz w:val="20"/>
          <w:szCs w:val="20"/>
          <w:lang w:val="cs-CZ"/>
        </w:rPr>
        <w:t xml:space="preserve">a) </w:t>
      </w:r>
      <w:r w:rsidR="00297A55">
        <w:rPr>
          <w:rFonts w:ascii="Arial" w:hAnsi="Arial" w:cs="Arial"/>
          <w:b/>
          <w:sz w:val="20"/>
          <w:szCs w:val="20"/>
          <w:lang w:val="cs-CZ"/>
        </w:rPr>
        <w:t>Způsobil</w:t>
      </w:r>
      <w:r w:rsidR="004F3F78" w:rsidRPr="005E3C76">
        <w:rPr>
          <w:rFonts w:ascii="Arial" w:hAnsi="Arial" w:cs="Arial"/>
          <w:b/>
          <w:sz w:val="20"/>
          <w:szCs w:val="20"/>
          <w:lang w:val="cs-CZ"/>
        </w:rPr>
        <w:t xml:space="preserve">ými náklady </w:t>
      </w:r>
      <w:r w:rsidR="004F3F78" w:rsidRPr="005E3C76">
        <w:rPr>
          <w:rFonts w:ascii="Arial" w:hAnsi="Arial" w:cs="Arial"/>
          <w:sz w:val="20"/>
          <w:szCs w:val="20"/>
          <w:lang w:val="cs-CZ"/>
        </w:rPr>
        <w:t xml:space="preserve">v rámci realizace </w:t>
      </w:r>
      <w:r w:rsidR="004F3F78" w:rsidRPr="008435EF">
        <w:rPr>
          <w:rFonts w:ascii="Arial" w:hAnsi="Arial" w:cs="Arial"/>
          <w:sz w:val="20"/>
          <w:szCs w:val="20"/>
          <w:lang w:val="cs-CZ"/>
        </w:rPr>
        <w:t>projektu j</w:t>
      </w:r>
      <w:r w:rsidR="00297A55">
        <w:rPr>
          <w:rFonts w:ascii="Arial" w:hAnsi="Arial" w:cs="Arial"/>
          <w:sz w:val="20"/>
          <w:szCs w:val="20"/>
          <w:lang w:val="cs-CZ"/>
        </w:rPr>
        <w:t>sou náklady vzniklé od 1. 1. 202</w:t>
      </w:r>
      <w:r w:rsidR="00586EED">
        <w:rPr>
          <w:rFonts w:ascii="Arial" w:hAnsi="Arial" w:cs="Arial"/>
          <w:sz w:val="20"/>
          <w:szCs w:val="20"/>
          <w:lang w:val="cs-CZ"/>
        </w:rPr>
        <w:t>5</w:t>
      </w:r>
      <w:r w:rsidR="004F3F78" w:rsidRPr="008435EF">
        <w:rPr>
          <w:rFonts w:ascii="Arial" w:hAnsi="Arial" w:cs="Arial"/>
          <w:i/>
          <w:sz w:val="20"/>
          <w:szCs w:val="20"/>
          <w:lang w:val="cs-CZ"/>
        </w:rPr>
        <w:t xml:space="preserve"> </w:t>
      </w:r>
      <w:r w:rsidR="00586EED">
        <w:rPr>
          <w:rFonts w:ascii="Arial" w:hAnsi="Arial" w:cs="Arial"/>
          <w:sz w:val="20"/>
          <w:szCs w:val="20"/>
          <w:lang w:val="cs-CZ"/>
        </w:rPr>
        <w:t>do 31. 12. 2025</w:t>
      </w:r>
      <w:r w:rsidR="004F3F78" w:rsidRPr="008435EF">
        <w:rPr>
          <w:rFonts w:ascii="Arial" w:hAnsi="Arial" w:cs="Arial"/>
          <w:sz w:val="20"/>
          <w:szCs w:val="20"/>
          <w:lang w:val="cs-CZ"/>
        </w:rPr>
        <w:t>, uhrazené nejpozději do 28. 2. 202</w:t>
      </w:r>
      <w:r w:rsidR="00586EED">
        <w:rPr>
          <w:rFonts w:ascii="Arial" w:hAnsi="Arial" w:cs="Arial"/>
          <w:sz w:val="20"/>
          <w:szCs w:val="20"/>
          <w:lang w:val="cs-CZ"/>
        </w:rPr>
        <w:t>6</w:t>
      </w:r>
      <w:r w:rsidR="004F3F78" w:rsidRPr="008435EF">
        <w:rPr>
          <w:rFonts w:ascii="Arial" w:hAnsi="Arial" w:cs="Arial"/>
          <w:i/>
          <w:sz w:val="20"/>
          <w:szCs w:val="20"/>
          <w:lang w:val="cs-CZ"/>
        </w:rPr>
        <w:t>.</w:t>
      </w:r>
      <w:r w:rsidR="004F3F78" w:rsidRPr="005E3C76">
        <w:rPr>
          <w:rFonts w:ascii="Arial" w:hAnsi="Arial" w:cs="Arial"/>
          <w:sz w:val="20"/>
          <w:szCs w:val="20"/>
          <w:lang w:val="cs-CZ"/>
        </w:rPr>
        <w:t xml:space="preserve"> </w:t>
      </w:r>
      <w:r w:rsidR="004F3F78" w:rsidRPr="005E3C76">
        <w:rPr>
          <w:rFonts w:ascii="Arial" w:hAnsi="Arial" w:cs="Arial"/>
          <w:b/>
          <w:sz w:val="20"/>
          <w:szCs w:val="20"/>
          <w:lang w:val="cs-CZ"/>
        </w:rPr>
        <w:t>V případě, že bud</w:t>
      </w:r>
      <w:r w:rsidR="00A937A5">
        <w:rPr>
          <w:rFonts w:ascii="Arial" w:hAnsi="Arial" w:cs="Arial"/>
          <w:b/>
          <w:sz w:val="20"/>
          <w:szCs w:val="20"/>
          <w:lang w:val="cs-CZ"/>
        </w:rPr>
        <w:t>e doklad vystaven až v roce 2026</w:t>
      </w:r>
      <w:bookmarkStart w:id="0" w:name="_GoBack"/>
      <w:bookmarkEnd w:id="0"/>
      <w:r w:rsidR="004F3F78" w:rsidRPr="005E3C76">
        <w:rPr>
          <w:rFonts w:ascii="Arial" w:hAnsi="Arial" w:cs="Arial"/>
          <w:b/>
          <w:sz w:val="20"/>
          <w:szCs w:val="20"/>
          <w:lang w:val="cs-CZ"/>
        </w:rPr>
        <w:t xml:space="preserve">, je Příjemce povinen zajistit, aby v něm bylo výslovně uvedeno konkrétní datum plnění! </w:t>
      </w:r>
      <w:r w:rsidR="004F3F78"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5E3C76" w:rsidRDefault="004F3F78" w:rsidP="004F3F78">
      <w:pPr>
        <w:jc w:val="both"/>
        <w:rPr>
          <w:rFonts w:ascii="Arial" w:hAnsi="Arial" w:cs="Arial"/>
          <w:b/>
          <w:sz w:val="20"/>
          <w:szCs w:val="20"/>
        </w:rPr>
      </w:pPr>
    </w:p>
    <w:p w:rsidR="004F3F78" w:rsidRPr="005E3C76" w:rsidRDefault="00297A55" w:rsidP="004F3F78">
      <w:pPr>
        <w:jc w:val="both"/>
        <w:rPr>
          <w:rFonts w:ascii="Arial" w:hAnsi="Arial" w:cs="Arial"/>
          <w:b/>
          <w:sz w:val="20"/>
          <w:szCs w:val="20"/>
        </w:rPr>
      </w:pPr>
      <w:r>
        <w:rPr>
          <w:rFonts w:ascii="Arial" w:hAnsi="Arial" w:cs="Arial"/>
          <w:b/>
          <w:sz w:val="20"/>
          <w:szCs w:val="20"/>
        </w:rPr>
        <w:t>b) Nezpůsobilé</w:t>
      </w:r>
      <w:r w:rsidR="004F3F78" w:rsidRPr="005E3C76">
        <w:rPr>
          <w:rFonts w:ascii="Arial" w:hAnsi="Arial" w:cs="Arial"/>
          <w:b/>
          <w:sz w:val="20"/>
          <w:szCs w:val="20"/>
        </w:rPr>
        <w:t xml:space="preserve"> náklady</w:t>
      </w:r>
    </w:p>
    <w:p w:rsidR="004F3F78" w:rsidRPr="005E3C76" w:rsidRDefault="00297A55" w:rsidP="004F3F78">
      <w:pPr>
        <w:jc w:val="both"/>
        <w:rPr>
          <w:rFonts w:ascii="Arial" w:hAnsi="Arial" w:cs="Arial"/>
          <w:b/>
          <w:sz w:val="20"/>
          <w:szCs w:val="20"/>
        </w:rPr>
      </w:pPr>
      <w:r>
        <w:rPr>
          <w:rFonts w:ascii="Arial" w:hAnsi="Arial" w:cs="Arial"/>
          <w:sz w:val="20"/>
          <w:szCs w:val="20"/>
        </w:rPr>
        <w:t>Nesmí být zahrnuty do nákladů na projekt</w:t>
      </w:r>
      <w:r w:rsidR="004F3F78" w:rsidRPr="005E3C76">
        <w:rPr>
          <w:rFonts w:ascii="Arial" w:hAnsi="Arial" w:cs="Arial"/>
          <w:sz w:val="20"/>
          <w:szCs w:val="20"/>
        </w:rPr>
        <w:t>:</w:t>
      </w:r>
    </w:p>
    <w:p w:rsidR="004F3F78" w:rsidRPr="008435EF" w:rsidRDefault="004F3F78" w:rsidP="004F3F78">
      <w:pPr>
        <w:pStyle w:val="Default"/>
        <w:numPr>
          <w:ilvl w:val="0"/>
          <w:numId w:val="11"/>
        </w:numPr>
        <w:spacing w:after="7"/>
        <w:jc w:val="both"/>
        <w:rPr>
          <w:rFonts w:ascii="Arial" w:hAnsi="Arial" w:cs="Arial"/>
          <w:color w:val="auto"/>
          <w:sz w:val="20"/>
          <w:szCs w:val="20"/>
        </w:rPr>
      </w:pPr>
      <w:r w:rsidRPr="008435EF">
        <w:rPr>
          <w:rFonts w:ascii="Arial" w:hAnsi="Arial" w:cs="Arial"/>
          <w:color w:val="auto"/>
          <w:sz w:val="20"/>
          <w:szCs w:val="20"/>
        </w:rPr>
        <w:t>investiční náklady,</w:t>
      </w:r>
    </w:p>
    <w:p w:rsidR="004F3F78" w:rsidRPr="008435EF" w:rsidRDefault="004F3F78" w:rsidP="004F3F78">
      <w:pPr>
        <w:pStyle w:val="Default"/>
        <w:numPr>
          <w:ilvl w:val="0"/>
          <w:numId w:val="11"/>
        </w:numPr>
        <w:spacing w:after="7"/>
        <w:jc w:val="both"/>
        <w:rPr>
          <w:rFonts w:ascii="Arial" w:hAnsi="Arial" w:cs="Arial"/>
          <w:color w:val="auto"/>
          <w:sz w:val="20"/>
          <w:szCs w:val="20"/>
        </w:rPr>
      </w:pPr>
      <w:r w:rsidRPr="008435EF">
        <w:rPr>
          <w:rFonts w:ascii="Arial" w:hAnsi="Arial" w:cs="Arial"/>
          <w:color w:val="auto"/>
          <w:sz w:val="20"/>
          <w:szCs w:val="20"/>
        </w:rPr>
        <w:t>náklady uhrazené vzájemným zápočtem,</w:t>
      </w:r>
    </w:p>
    <w:p w:rsidR="004F3F78" w:rsidRPr="008435EF" w:rsidRDefault="004F3F78" w:rsidP="004F3F78">
      <w:pPr>
        <w:pStyle w:val="Default"/>
        <w:numPr>
          <w:ilvl w:val="0"/>
          <w:numId w:val="11"/>
        </w:numPr>
        <w:spacing w:after="7"/>
        <w:jc w:val="both"/>
        <w:rPr>
          <w:rFonts w:ascii="Arial" w:hAnsi="Arial" w:cs="Arial"/>
          <w:color w:val="auto"/>
          <w:sz w:val="20"/>
          <w:szCs w:val="20"/>
        </w:rPr>
      </w:pPr>
      <w:r w:rsidRPr="008435EF">
        <w:rPr>
          <w:rFonts w:ascii="Arial" w:hAnsi="Arial" w:cs="Arial"/>
          <w:color w:val="auto"/>
          <w:sz w:val="20"/>
          <w:szCs w:val="20"/>
        </w:rPr>
        <w:t>alkohol, tabákové výrobky a jiné návykové látky,</w:t>
      </w:r>
    </w:p>
    <w:p w:rsidR="004F3F78" w:rsidRPr="008435EF" w:rsidRDefault="008435EF" w:rsidP="004F3F78">
      <w:pPr>
        <w:pStyle w:val="Default"/>
        <w:numPr>
          <w:ilvl w:val="0"/>
          <w:numId w:val="11"/>
        </w:numPr>
        <w:spacing w:after="7"/>
        <w:jc w:val="both"/>
        <w:rPr>
          <w:rFonts w:ascii="Arial" w:hAnsi="Arial" w:cs="Arial"/>
          <w:color w:val="auto"/>
          <w:sz w:val="20"/>
          <w:szCs w:val="20"/>
        </w:rPr>
      </w:pPr>
      <w:r w:rsidRPr="008435EF">
        <w:rPr>
          <w:rFonts w:ascii="Arial" w:hAnsi="Arial" w:cs="Arial"/>
          <w:color w:val="auto"/>
          <w:sz w:val="20"/>
          <w:szCs w:val="20"/>
        </w:rPr>
        <w:t xml:space="preserve">finanční dary, </w:t>
      </w:r>
      <w:r w:rsidR="004F3F78" w:rsidRPr="008435EF">
        <w:rPr>
          <w:rFonts w:ascii="Arial" w:hAnsi="Arial" w:cs="Arial"/>
          <w:color w:val="auto"/>
          <w:sz w:val="20"/>
          <w:szCs w:val="20"/>
        </w:rPr>
        <w:t xml:space="preserve"> </w:t>
      </w:r>
    </w:p>
    <w:p w:rsidR="004F3F78" w:rsidRPr="008435EF" w:rsidRDefault="004F3F78" w:rsidP="004F3F78">
      <w:pPr>
        <w:pStyle w:val="Default"/>
        <w:numPr>
          <w:ilvl w:val="0"/>
          <w:numId w:val="11"/>
        </w:numPr>
        <w:spacing w:after="7"/>
        <w:jc w:val="both"/>
        <w:rPr>
          <w:rFonts w:ascii="Arial" w:hAnsi="Arial" w:cs="Arial"/>
          <w:color w:val="auto"/>
          <w:sz w:val="20"/>
          <w:szCs w:val="20"/>
        </w:rPr>
      </w:pPr>
      <w:r w:rsidRPr="008435EF">
        <w:rPr>
          <w:rFonts w:ascii="Arial" w:hAnsi="Arial" w:cs="Arial"/>
          <w:color w:val="auto"/>
          <w:sz w:val="20"/>
          <w:szCs w:val="20"/>
        </w:rPr>
        <w:t>daně, které si uplatňuje Příjemce u finančního úřadu (platí pro p</w:t>
      </w:r>
      <w:r w:rsidR="00FF67AE">
        <w:rPr>
          <w:rFonts w:ascii="Arial" w:hAnsi="Arial" w:cs="Arial"/>
          <w:color w:val="auto"/>
          <w:sz w:val="20"/>
          <w:szCs w:val="20"/>
        </w:rPr>
        <w:t>látce DPH)</w:t>
      </w:r>
      <w:r w:rsidRPr="008435EF">
        <w:rPr>
          <w:rFonts w:ascii="Arial" w:hAnsi="Arial" w:cs="Arial"/>
          <w:color w:val="auto"/>
          <w:sz w:val="20"/>
          <w:szCs w:val="20"/>
        </w:rPr>
        <w:t>, ú</w:t>
      </w:r>
      <w:r w:rsidR="008435EF" w:rsidRPr="008435EF">
        <w:rPr>
          <w:rFonts w:ascii="Arial" w:hAnsi="Arial" w:cs="Arial"/>
          <w:color w:val="auto"/>
          <w:sz w:val="20"/>
          <w:szCs w:val="20"/>
        </w:rPr>
        <w:t>věry, úroky, směnky</w:t>
      </w:r>
      <w:r w:rsidRPr="008435EF">
        <w:rPr>
          <w:rFonts w:ascii="Arial" w:hAnsi="Arial" w:cs="Arial"/>
          <w:color w:val="auto"/>
          <w:sz w:val="20"/>
          <w:szCs w:val="20"/>
        </w:rPr>
        <w:t>, penále, pokuty, po</w:t>
      </w:r>
      <w:r w:rsidR="008435EF" w:rsidRPr="008435EF">
        <w:rPr>
          <w:rFonts w:ascii="Arial" w:hAnsi="Arial" w:cs="Arial"/>
          <w:color w:val="auto"/>
          <w:sz w:val="20"/>
          <w:szCs w:val="20"/>
        </w:rPr>
        <w:t>radenské a právní služby,</w:t>
      </w:r>
    </w:p>
    <w:p w:rsidR="004F3F78" w:rsidRPr="008435EF" w:rsidRDefault="004F3F78" w:rsidP="004F3F78">
      <w:pPr>
        <w:pStyle w:val="Default"/>
        <w:numPr>
          <w:ilvl w:val="0"/>
          <w:numId w:val="11"/>
        </w:numPr>
        <w:jc w:val="both"/>
        <w:rPr>
          <w:rFonts w:ascii="Arial" w:hAnsi="Arial" w:cs="Arial"/>
          <w:color w:val="auto"/>
          <w:sz w:val="20"/>
          <w:szCs w:val="20"/>
        </w:rPr>
      </w:pPr>
      <w:r w:rsidRPr="008435EF">
        <w:rPr>
          <w:rFonts w:ascii="Arial" w:hAnsi="Arial" w:cs="Arial"/>
          <w:color w:val="auto"/>
          <w:sz w:val="20"/>
          <w:szCs w:val="20"/>
        </w:rPr>
        <w:t xml:space="preserve">výdaj na úhradu zálohové faktury bez konečného vyúčtování, </w:t>
      </w:r>
    </w:p>
    <w:p w:rsidR="004F3F78" w:rsidRPr="008435EF" w:rsidRDefault="004F3F78" w:rsidP="004F3F78">
      <w:pPr>
        <w:pStyle w:val="Default"/>
        <w:numPr>
          <w:ilvl w:val="0"/>
          <w:numId w:val="11"/>
        </w:numPr>
        <w:jc w:val="both"/>
        <w:rPr>
          <w:rFonts w:ascii="Arial" w:hAnsi="Arial" w:cs="Arial"/>
          <w:color w:val="auto"/>
          <w:sz w:val="20"/>
          <w:szCs w:val="20"/>
        </w:rPr>
      </w:pPr>
      <w:r w:rsidRPr="008435EF">
        <w:rPr>
          <w:rFonts w:ascii="Arial" w:hAnsi="Arial" w:cs="Arial"/>
          <w:color w:val="auto"/>
          <w:sz w:val="20"/>
          <w:szCs w:val="20"/>
        </w:rPr>
        <w:t xml:space="preserve">pohonné hmoty na základě samostatného dokladu, </w:t>
      </w:r>
    </w:p>
    <w:p w:rsidR="004F3F78" w:rsidRPr="008435EF" w:rsidRDefault="004F3F78" w:rsidP="004F3F78">
      <w:pPr>
        <w:pStyle w:val="Default"/>
        <w:numPr>
          <w:ilvl w:val="0"/>
          <w:numId w:val="11"/>
        </w:numPr>
        <w:jc w:val="both"/>
        <w:rPr>
          <w:rFonts w:ascii="Arial" w:hAnsi="Arial" w:cs="Arial"/>
          <w:color w:val="auto"/>
          <w:sz w:val="20"/>
          <w:szCs w:val="20"/>
        </w:rPr>
      </w:pPr>
      <w:r w:rsidRPr="008435EF">
        <w:rPr>
          <w:rFonts w:ascii="Arial" w:hAnsi="Arial" w:cs="Arial"/>
          <w:color w:val="auto"/>
          <w:sz w:val="20"/>
          <w:szCs w:val="20"/>
        </w:rPr>
        <w:t>paušály</w:t>
      </w:r>
      <w:r w:rsidR="00297A55">
        <w:rPr>
          <w:rFonts w:ascii="Arial" w:hAnsi="Arial" w:cs="Arial"/>
          <w:color w:val="auto"/>
          <w:sz w:val="20"/>
          <w:szCs w:val="20"/>
        </w:rPr>
        <w:t xml:space="preserve"> (pevně stanovená platba, poplatek či náklad, který nezohledňuje skutečné výdaje)</w:t>
      </w:r>
      <w:r w:rsidRPr="008435EF">
        <w:rPr>
          <w:rFonts w:ascii="Arial" w:hAnsi="Arial" w:cs="Arial"/>
          <w:color w:val="auto"/>
          <w:sz w:val="20"/>
          <w:szCs w:val="20"/>
        </w:rPr>
        <w:t xml:space="preserve">, </w:t>
      </w:r>
    </w:p>
    <w:p w:rsidR="004F3F78" w:rsidRPr="008435EF" w:rsidRDefault="004F3F78" w:rsidP="004F3F78">
      <w:pPr>
        <w:pStyle w:val="Default"/>
        <w:numPr>
          <w:ilvl w:val="0"/>
          <w:numId w:val="11"/>
        </w:numPr>
        <w:jc w:val="both"/>
        <w:rPr>
          <w:rFonts w:ascii="Arial" w:hAnsi="Arial" w:cs="Arial"/>
          <w:color w:val="auto"/>
          <w:sz w:val="20"/>
          <w:szCs w:val="20"/>
        </w:rPr>
      </w:pPr>
      <w:r w:rsidRPr="008435EF">
        <w:rPr>
          <w:rFonts w:ascii="Arial" w:hAnsi="Arial" w:cs="Arial"/>
          <w:color w:val="auto"/>
          <w:sz w:val="20"/>
          <w:szCs w:val="20"/>
        </w:rPr>
        <w:t>nákup zboží za účelem jeho prodeje</w:t>
      </w:r>
      <w:r w:rsidR="008435EF" w:rsidRPr="008435EF">
        <w:rPr>
          <w:rFonts w:ascii="Arial" w:hAnsi="Arial" w:cs="Arial"/>
          <w:color w:val="auto"/>
          <w:sz w:val="20"/>
          <w:szCs w:val="20"/>
        </w:rPr>
        <w:t>.</w:t>
      </w:r>
      <w:r w:rsidRPr="008435EF">
        <w:rPr>
          <w:rFonts w:ascii="Arial" w:hAnsi="Arial" w:cs="Arial"/>
          <w:color w:val="auto"/>
          <w:sz w:val="20"/>
          <w:szCs w:val="20"/>
        </w:rPr>
        <w:t xml:space="preserve"> </w:t>
      </w:r>
    </w:p>
    <w:p w:rsidR="004F3F78" w:rsidRPr="005E3C76" w:rsidRDefault="004F3F78" w:rsidP="004F3F78">
      <w:pPr>
        <w:rPr>
          <w:rFonts w:ascii="Arial" w:hAnsi="Arial" w:cs="Arial"/>
          <w:b/>
          <w:i/>
          <w:color w:val="FF0000"/>
          <w:sz w:val="20"/>
          <w:szCs w:val="2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297A55"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F876BA" w:rsidRPr="005E3C76" w:rsidRDefault="00F876BA"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8435EF" w:rsidRDefault="004F3F78" w:rsidP="008435EF">
      <w:pPr>
        <w:pStyle w:val="Zkladntext"/>
        <w:numPr>
          <w:ilvl w:val="0"/>
          <w:numId w:val="13"/>
        </w:numPr>
        <w:spacing w:after="0"/>
        <w:rPr>
          <w:rFonts w:ascii="Arial" w:hAnsi="Arial" w:cs="Arial"/>
          <w:sz w:val="20"/>
          <w:szCs w:val="20"/>
          <w:lang w:val="cs-CZ"/>
        </w:rPr>
      </w:pPr>
      <w:r>
        <w:rPr>
          <w:rFonts w:ascii="Arial" w:hAnsi="Arial" w:cs="Arial"/>
          <w:sz w:val="20"/>
          <w:szCs w:val="20"/>
          <w:lang w:val="cs-CZ"/>
        </w:rPr>
        <w:lastRenderedPageBreak/>
        <w:t>č</w:t>
      </w:r>
      <w:r w:rsidRPr="005E3C76">
        <w:rPr>
          <w:rFonts w:ascii="Arial" w:hAnsi="Arial" w:cs="Arial"/>
          <w:sz w:val="20"/>
          <w:szCs w:val="20"/>
          <w:lang w:val="cs-CZ"/>
        </w:rPr>
        <w:t xml:space="preserve">estné prohlášení,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F876BA" w:rsidRDefault="004F3F78" w:rsidP="008435EF">
      <w:pPr>
        <w:pStyle w:val="Zkladntext"/>
        <w:numPr>
          <w:ilvl w:val="0"/>
          <w:numId w:val="13"/>
        </w:numPr>
        <w:spacing w:after="0"/>
        <w:rPr>
          <w:rFonts w:ascii="Arial" w:hAnsi="Arial" w:cs="Arial"/>
          <w:sz w:val="20"/>
          <w:szCs w:val="20"/>
          <w:lang w:val="cs-CZ"/>
        </w:rPr>
      </w:pPr>
      <w:r w:rsidRPr="00F876BA">
        <w:rPr>
          <w:rFonts w:ascii="Arial" w:hAnsi="Arial" w:cs="Arial"/>
          <w:sz w:val="20"/>
          <w:szCs w:val="20"/>
          <w:lang w:val="cs-CZ"/>
        </w:rPr>
        <w:t>prezentaci (plakáty, letáky, program, apod.) s uvedením sponzorského vzkazu Města</w:t>
      </w:r>
      <w:r w:rsidR="00F876BA" w:rsidRPr="00F876BA">
        <w:rPr>
          <w:rFonts w:ascii="Arial" w:hAnsi="Arial" w:cs="Arial"/>
          <w:sz w:val="20"/>
          <w:szCs w:val="20"/>
          <w:lang w:val="cs-CZ"/>
        </w:rPr>
        <w:t xml:space="preserve"> –</w:t>
      </w:r>
      <w:r w:rsidR="00F876BA">
        <w:rPr>
          <w:rFonts w:ascii="Arial" w:hAnsi="Arial" w:cs="Arial"/>
          <w:sz w:val="20"/>
          <w:szCs w:val="20"/>
          <w:lang w:val="cs-CZ"/>
        </w:rPr>
        <w:t xml:space="preserve"> v </w:t>
      </w:r>
      <w:r w:rsidR="00F876BA" w:rsidRPr="00F876BA">
        <w:rPr>
          <w:rFonts w:ascii="Arial" w:hAnsi="Arial" w:cs="Arial"/>
          <w:sz w:val="20"/>
          <w:szCs w:val="20"/>
          <w:lang w:val="cs-CZ"/>
        </w:rPr>
        <w:t>případě, že bude pořizována</w:t>
      </w:r>
      <w:r w:rsidR="00F876BA">
        <w:rPr>
          <w:rFonts w:ascii="Arial" w:hAnsi="Arial" w:cs="Arial"/>
          <w:sz w:val="20"/>
          <w:szCs w:val="20"/>
          <w:lang w:val="cs-CZ"/>
        </w:rPr>
        <w:t xml:space="preserve"> v rámci realizace projektu</w:t>
      </w:r>
      <w:r w:rsidR="00F876BA" w:rsidRPr="00F876BA">
        <w:rPr>
          <w:rFonts w:ascii="Arial" w:hAnsi="Arial" w:cs="Arial"/>
          <w:sz w:val="20"/>
          <w:szCs w:val="20"/>
          <w:lang w:val="cs-CZ"/>
        </w:rPr>
        <w:t xml:space="preserve"> v tištěné podobě, případně doložení uveřejnění sponzorského vzkazu na webových stránkách</w:t>
      </w:r>
      <w:r w:rsidR="008435EF" w:rsidRPr="00F876BA">
        <w:rPr>
          <w:rFonts w:ascii="Arial" w:hAnsi="Arial" w:cs="Arial"/>
          <w:sz w:val="20"/>
          <w:szCs w:val="20"/>
          <w:lang w:val="cs-CZ"/>
        </w:rPr>
        <w:t xml:space="preserve">. </w:t>
      </w:r>
    </w:p>
    <w:p w:rsidR="008435EF" w:rsidRPr="008435EF" w:rsidRDefault="008435EF" w:rsidP="008435EF">
      <w:pPr>
        <w:ind w:left="720"/>
        <w:jc w:val="both"/>
        <w:rPr>
          <w:rFonts w:ascii="Arial" w:hAnsi="Arial" w:cs="Arial"/>
          <w:b/>
          <w:i/>
          <w:color w:val="FF0000"/>
          <w:sz w:val="20"/>
          <w:szCs w:val="20"/>
        </w:rPr>
      </w:pPr>
    </w:p>
    <w:p w:rsidR="004F3F78" w:rsidRPr="005E3C76" w:rsidRDefault="00690C6C" w:rsidP="004F3F78">
      <w:pPr>
        <w:pStyle w:val="Zkladntext"/>
        <w:spacing w:after="0"/>
        <w:rPr>
          <w:rFonts w:ascii="Arial" w:hAnsi="Arial" w:cs="Arial"/>
          <w:i/>
          <w:sz w:val="20"/>
          <w:szCs w:val="20"/>
          <w:lang w:val="cs-CZ"/>
        </w:rPr>
      </w:pPr>
      <w:r>
        <w:rPr>
          <w:rFonts w:ascii="Arial" w:hAnsi="Arial" w:cs="Arial"/>
          <w:b/>
          <w:sz w:val="20"/>
          <w:szCs w:val="20"/>
          <w:lang w:val="cs-CZ"/>
        </w:rPr>
        <w:t>c) Nevyčerpanou část dotace</w:t>
      </w:r>
      <w:r w:rsidR="004F3F78" w:rsidRPr="005E3C76">
        <w:rPr>
          <w:rFonts w:ascii="Arial" w:hAnsi="Arial" w:cs="Arial"/>
          <w:sz w:val="20"/>
          <w:szCs w:val="20"/>
          <w:lang w:val="cs-CZ"/>
        </w:rPr>
        <w:t>,</w:t>
      </w:r>
      <w:r>
        <w:rPr>
          <w:rFonts w:ascii="Arial" w:hAnsi="Arial" w:cs="Arial"/>
          <w:sz w:val="20"/>
          <w:szCs w:val="20"/>
          <w:lang w:val="cs-CZ"/>
        </w:rPr>
        <w:t xml:space="preserve"> tj. případný rozdíl částek poskytnuté a nevyčerpané dotace a </w:t>
      </w:r>
      <w:r w:rsidRPr="00690C6C">
        <w:rPr>
          <w:rFonts w:ascii="Arial" w:hAnsi="Arial" w:cs="Arial"/>
          <w:b/>
          <w:sz w:val="20"/>
          <w:szCs w:val="20"/>
          <w:lang w:val="cs-CZ"/>
        </w:rPr>
        <w:t>vzniklý rozdíl k vrácení dle podmínek této smlouvy</w:t>
      </w:r>
      <w:r w:rsidR="004F3F78" w:rsidRPr="005E3C76">
        <w:rPr>
          <w:rFonts w:ascii="Arial" w:hAnsi="Arial" w:cs="Arial"/>
          <w:sz w:val="20"/>
          <w:szCs w:val="20"/>
          <w:lang w:val="cs-CZ"/>
        </w:rPr>
        <w:t xml:space="preserve"> je Příjemce povinen vrátit na účet Města </w:t>
      </w:r>
      <w:r w:rsidR="004F3F78" w:rsidRPr="005E3C76">
        <w:rPr>
          <w:rFonts w:ascii="Arial" w:hAnsi="Arial" w:cs="Arial"/>
          <w:b/>
          <w:sz w:val="20"/>
          <w:szCs w:val="20"/>
          <w:lang w:val="cs-CZ"/>
        </w:rPr>
        <w:t>do 15 kalendářních dnů od posledního dne lhůty pro předložení Vyúčtování</w:t>
      </w:r>
      <w:r w:rsidR="004F3F78" w:rsidRPr="005E3C76">
        <w:rPr>
          <w:rFonts w:ascii="Arial" w:hAnsi="Arial" w:cs="Arial"/>
          <w:sz w:val="20"/>
          <w:szCs w:val="20"/>
          <w:lang w:val="cs-CZ"/>
        </w:rPr>
        <w:t xml:space="preserve"> </w:t>
      </w:r>
      <w:r w:rsidR="004F3F78" w:rsidRPr="005E3C76">
        <w:rPr>
          <w:rFonts w:ascii="Arial" w:hAnsi="Arial" w:cs="Arial"/>
          <w:i/>
          <w:sz w:val="20"/>
          <w:szCs w:val="20"/>
          <w:lang w:val="cs-CZ"/>
        </w:rPr>
        <w:t xml:space="preserve">(okamžikem vrácení se rozumí připsání částky na účet Města). </w:t>
      </w:r>
      <w:r w:rsidR="004F3F78" w:rsidRPr="005E3C76">
        <w:rPr>
          <w:rFonts w:ascii="Arial" w:hAnsi="Arial" w:cs="Arial"/>
          <w:sz w:val="20"/>
          <w:szCs w:val="20"/>
          <w:lang w:val="cs-CZ"/>
        </w:rPr>
        <w:t xml:space="preserve">Vrácení finančních prostředků je možné v hotovosti na pokladně Magistrátu města Jihlavy </w:t>
      </w:r>
      <w:r w:rsidR="004F3F78" w:rsidRPr="005E3C76">
        <w:rPr>
          <w:rFonts w:ascii="Arial" w:hAnsi="Arial" w:cs="Arial"/>
          <w:i/>
          <w:sz w:val="20"/>
          <w:szCs w:val="20"/>
          <w:lang w:val="cs-CZ"/>
        </w:rPr>
        <w:t>(dále jen „Magistrát“)</w:t>
      </w:r>
      <w:r w:rsidR="004F3F78"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5E3C76" w:rsidRDefault="004F3F78" w:rsidP="004F3F78">
      <w:pPr>
        <w:pStyle w:val="Odstavecseseznamem"/>
        <w:autoSpaceDE w:val="0"/>
        <w:autoSpaceDN w:val="0"/>
        <w:adjustRightInd w:val="0"/>
        <w:ind w:left="0"/>
        <w:jc w:val="both"/>
        <w:rPr>
          <w:sz w:val="20"/>
          <w:szCs w:val="2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Pr="005E3C76">
        <w:rPr>
          <w:rFonts w:ascii="Arial" w:hAnsi="Arial" w:cs="Arial"/>
          <w:b/>
          <w:sz w:val="20"/>
          <w:szCs w:val="20"/>
          <w:lang w:val="cs-CZ"/>
        </w:rPr>
        <w:t xml:space="preserve"> </w:t>
      </w:r>
      <w:r w:rsidR="00B809A3">
        <w:rPr>
          <w:rFonts w:ascii="Arial" w:hAnsi="Arial" w:cs="Arial"/>
          <w:b/>
          <w:sz w:val="20"/>
          <w:szCs w:val="20"/>
          <w:lang w:val="cs-CZ"/>
        </w:rPr>
        <w:t>31. 3</w:t>
      </w:r>
      <w:r w:rsidR="008435EF">
        <w:rPr>
          <w:rFonts w:ascii="Arial" w:hAnsi="Arial" w:cs="Arial"/>
          <w:b/>
          <w:sz w:val="20"/>
          <w:szCs w:val="20"/>
          <w:lang w:val="cs-CZ"/>
        </w:rPr>
        <w:t>. 202</w:t>
      </w:r>
      <w:r w:rsidR="00586EED">
        <w:rPr>
          <w:rFonts w:ascii="Arial" w:hAnsi="Arial" w:cs="Arial"/>
          <w:b/>
          <w:sz w:val="20"/>
          <w:szCs w:val="20"/>
          <w:lang w:val="cs-CZ"/>
        </w:rPr>
        <w:t>6</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9E640F" w:rsidRPr="005E3C76" w:rsidRDefault="009E640F" w:rsidP="009E640F">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Pr>
          <w:rFonts w:ascii="Arial" w:hAnsi="Arial" w:cs="Arial"/>
          <w:sz w:val="20"/>
          <w:szCs w:val="20"/>
          <w:lang w:val="cs-CZ"/>
        </w:rPr>
        <w:t xml:space="preserve"> doručit prostřednictvím podatelny Magistrátu města Jihlavy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Pr>
          <w:rFonts w:ascii="Arial" w:hAnsi="Arial" w:cs="Arial"/>
          <w:b/>
          <w:sz w:val="20"/>
          <w:szCs w:val="20"/>
          <w:lang w:val="cs-CZ"/>
        </w:rPr>
        <w:t xml:space="preserve"> města Jihlavy</w:t>
      </w:r>
      <w:r w:rsidRPr="005E3C76">
        <w:rPr>
          <w:rFonts w:ascii="Arial" w:hAnsi="Arial" w:cs="Arial"/>
          <w:b/>
          <w:sz w:val="20"/>
          <w:szCs w:val="20"/>
          <w:lang w:val="cs-CZ"/>
        </w:rPr>
        <w:t>.</w:t>
      </w:r>
    </w:p>
    <w:p w:rsidR="009E640F" w:rsidRPr="005E3C76" w:rsidRDefault="009E640F" w:rsidP="009E640F">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5E3C76" w:rsidRDefault="004F3F78" w:rsidP="004F3F78">
      <w:pPr>
        <w:jc w:val="both"/>
        <w:rPr>
          <w:rFonts w:ascii="Arial" w:hAnsi="Arial" w:cs="Arial"/>
          <w:sz w:val="20"/>
          <w:szCs w:val="2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5E3C76" w:rsidRDefault="004F3F78" w:rsidP="004F3F78">
      <w:pPr>
        <w:pStyle w:val="Zkladntext"/>
        <w:spacing w:after="0"/>
        <w:ind w:left="360" w:hanging="360"/>
        <w:rPr>
          <w:rFonts w:ascii="Arial" w:hAnsi="Arial" w:cs="Arial"/>
          <w:b/>
          <w:sz w:val="20"/>
          <w:szCs w:val="2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9D0479">
        <w:rPr>
          <w:sz w:val="20"/>
          <w:szCs w:val="20"/>
        </w:rPr>
        <w:t xml:space="preserve"> (</w:t>
      </w:r>
      <w:r w:rsidRPr="001F1956">
        <w:rPr>
          <w:sz w:val="20"/>
          <w:szCs w:val="20"/>
        </w:rPr>
        <w:t>oddělením v účetnictví pomocí účelového resp. jakéhokoli analytického znaku nebo poznámkou na dokladu, apod.) doloženou prvotními doklady (v souladu s obecně závaznými právními předpisy). Příjemce odpovídá za řádné vedení prvotních účetních dokladů</w:t>
      </w:r>
      <w:r w:rsidR="00690C6C">
        <w:rPr>
          <w:sz w:val="20"/>
          <w:szCs w:val="20"/>
        </w:rPr>
        <w:t xml:space="preserve"> prokazujících celkové způsobilé</w:t>
      </w:r>
      <w:r w:rsidRPr="001F1956">
        <w:rPr>
          <w:sz w:val="20"/>
          <w:szCs w:val="20"/>
        </w:rPr>
        <w:t xml:space="preserve"> náklady projektu (faktury, výdajové pokladní doklady apod.)</w:t>
      </w:r>
      <w:r w:rsidR="008435EF">
        <w:rPr>
          <w:sz w:val="20"/>
          <w:szCs w:val="20"/>
        </w:rPr>
        <w:t>;</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nepoužít dotaci za účelem zisku projektu;</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4F3F78" w:rsidRPr="005E3C76" w:rsidRDefault="004F3F78" w:rsidP="004F3F78">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bez zbytečného odkladu a s dostatečným předstihem administrátorovi projektu písemnou formou ž</w:t>
      </w:r>
      <w:r w:rsidR="00690C6C">
        <w:rPr>
          <w:rFonts w:ascii="Arial" w:hAnsi="Arial" w:cs="Arial"/>
          <w:sz w:val="20"/>
          <w:szCs w:val="20"/>
        </w:rPr>
        <w:t>ádost o změnu ukazatelů projek</w:t>
      </w:r>
      <w:r w:rsidR="000355B8">
        <w:rPr>
          <w:rFonts w:ascii="Arial" w:hAnsi="Arial" w:cs="Arial"/>
          <w:sz w:val="20"/>
          <w:szCs w:val="20"/>
        </w:rPr>
        <w:t>t</w:t>
      </w:r>
      <w:r w:rsidR="00690C6C">
        <w:rPr>
          <w:rFonts w:ascii="Arial" w:hAnsi="Arial" w:cs="Arial"/>
          <w:sz w:val="20"/>
          <w:szCs w:val="20"/>
        </w:rPr>
        <w:t>u</w:t>
      </w:r>
      <w:r w:rsidRPr="005E3C76">
        <w:rPr>
          <w:rFonts w:ascii="Arial" w:hAnsi="Arial" w:cs="Arial"/>
          <w:sz w:val="20"/>
          <w:szCs w:val="20"/>
        </w:rPr>
        <w:t xml:space="preserve">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5E3C76" w:rsidRDefault="004F3F78" w:rsidP="009D0479">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zajistit, aby do skutečných celkových nákladů na pro</w:t>
      </w:r>
      <w:r w:rsidR="00690C6C">
        <w:rPr>
          <w:rFonts w:ascii="Arial" w:hAnsi="Arial" w:cs="Arial"/>
          <w:sz w:val="20"/>
          <w:szCs w:val="20"/>
          <w:lang w:val="cs-CZ"/>
        </w:rPr>
        <w:t>jekt nebyly zahrnuty nezpůsobilé</w:t>
      </w:r>
      <w:r w:rsidRPr="005E3C76">
        <w:rPr>
          <w:rFonts w:ascii="Arial" w:hAnsi="Arial" w:cs="Arial"/>
          <w:sz w:val="20"/>
          <w:szCs w:val="20"/>
          <w:lang w:val="cs-CZ"/>
        </w:rPr>
        <w:t xml:space="preserve"> náklady nebo náklady nesouvisející s</w:t>
      </w:r>
      <w:r w:rsidR="00690C6C">
        <w:rPr>
          <w:rFonts w:ascii="Arial" w:hAnsi="Arial" w:cs="Arial"/>
          <w:sz w:val="20"/>
          <w:szCs w:val="20"/>
          <w:lang w:val="cs-CZ"/>
        </w:rPr>
        <w:t> </w:t>
      </w:r>
      <w:r w:rsidRPr="005E3C76">
        <w:rPr>
          <w:rFonts w:ascii="Arial" w:hAnsi="Arial" w:cs="Arial"/>
          <w:sz w:val="20"/>
          <w:szCs w:val="20"/>
          <w:lang w:val="cs-CZ"/>
        </w:rPr>
        <w:t>projektem</w:t>
      </w:r>
      <w:r w:rsidR="00690C6C">
        <w:rPr>
          <w:rFonts w:ascii="Arial" w:hAnsi="Arial" w:cs="Arial"/>
          <w:sz w:val="20"/>
          <w:szCs w:val="20"/>
          <w:lang w:val="cs-CZ"/>
        </w:rPr>
        <w:t xml:space="preserve">, čerpat poskytnutou dotaci v souladu se schváleným účelem dotace, Město je oprávněno požadovat po příjemci zdůvodnění nákladů a výnosů vzniklých se zajištěním (realizací) projektu a je rovněž oprávněno předložené náklady a výnosy neuznat;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 xml:space="preserve">umožnit osobám pověřeným Městem provádět věcnou, finanční a účetní kontrolu v průběhu realizace projektu. V souladu se zákonem č. 320/2001 Sb. o finanční kontrole v platném znění </w:t>
      </w:r>
      <w:r w:rsidRPr="005E3C76">
        <w:rPr>
          <w:rFonts w:ascii="Arial" w:hAnsi="Arial" w:cs="Arial"/>
          <w:sz w:val="20"/>
          <w:szCs w:val="20"/>
          <w:lang w:val="cs-CZ"/>
        </w:rPr>
        <w:lastRenderedPageBreak/>
        <w:t>a souvisejícími obecně závaznými právními předpisy umožnit tuto kontrolu i po dokončení realizace projektu;</w:t>
      </w:r>
    </w:p>
    <w:p w:rsidR="004F3F78"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CB2B52" w:rsidRPr="00CB2B52" w:rsidRDefault="00CB2B52" w:rsidP="00CB2B52">
      <w:pPr>
        <w:pStyle w:val="Zkladntext"/>
        <w:numPr>
          <w:ilvl w:val="0"/>
          <w:numId w:val="16"/>
        </w:numPr>
        <w:spacing w:after="0"/>
        <w:rPr>
          <w:rFonts w:ascii="Arial" w:hAnsi="Arial" w:cs="Arial"/>
          <w:sz w:val="20"/>
          <w:szCs w:val="20"/>
          <w:lang w:val="cs-CZ"/>
        </w:rPr>
      </w:pPr>
      <w:r w:rsidRPr="00CB2B52">
        <w:rPr>
          <w:rFonts w:ascii="Arial" w:hAnsi="Arial" w:cs="Arial"/>
          <w:sz w:val="20"/>
          <w:szCs w:val="20"/>
          <w:lang w:val="cs-CZ"/>
        </w:rPr>
        <w:t>zajistit prezentaci projektu:</w:t>
      </w:r>
    </w:p>
    <w:p w:rsidR="00C5608B" w:rsidRPr="00CB1812" w:rsidRDefault="00C5608B" w:rsidP="00C5608B">
      <w:pPr>
        <w:pStyle w:val="Zkladntext"/>
        <w:numPr>
          <w:ilvl w:val="1"/>
          <w:numId w:val="17"/>
        </w:numPr>
        <w:spacing w:after="0"/>
        <w:rPr>
          <w:rFonts w:ascii="Arial" w:hAnsi="Arial" w:cs="Arial"/>
          <w:sz w:val="20"/>
          <w:szCs w:val="20"/>
          <w:lang w:val="cs-CZ"/>
        </w:rPr>
      </w:pPr>
      <w:r w:rsidRPr="00CB1812">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8" w:history="1">
        <w:r w:rsidRPr="00CB1812">
          <w:rPr>
            <w:rStyle w:val="Hypertextovodkaz"/>
            <w:rFonts w:ascii="Arial" w:hAnsi="Arial" w:cs="Arial"/>
            <w:sz w:val="20"/>
            <w:szCs w:val="20"/>
            <w:lang w:val="cs-CZ"/>
          </w:rPr>
          <w:t>www.jihlava.cz/sponzorskyvzkaz</w:t>
        </w:r>
      </w:hyperlink>
      <w:r w:rsidRPr="00CB1812">
        <w:rPr>
          <w:rFonts w:ascii="Arial" w:hAnsi="Arial" w:cs="Arial"/>
          <w:sz w:val="20"/>
          <w:szCs w:val="20"/>
          <w:lang w:val="cs-CZ"/>
        </w:rPr>
        <w:t>;</w:t>
      </w:r>
    </w:p>
    <w:p w:rsidR="00C5608B" w:rsidRPr="00CB1812" w:rsidRDefault="00C5608B" w:rsidP="00C5608B">
      <w:pPr>
        <w:pStyle w:val="Zkladntext"/>
        <w:numPr>
          <w:ilvl w:val="1"/>
          <w:numId w:val="17"/>
        </w:numPr>
        <w:spacing w:after="0"/>
        <w:rPr>
          <w:rFonts w:ascii="Arial" w:hAnsi="Arial" w:cs="Arial"/>
          <w:sz w:val="20"/>
          <w:szCs w:val="20"/>
          <w:lang w:val="cs-CZ"/>
        </w:rPr>
      </w:pPr>
      <w:r w:rsidRPr="00CB1812">
        <w:rPr>
          <w:rFonts w:ascii="Arial" w:hAnsi="Arial" w:cs="Arial"/>
          <w:sz w:val="20"/>
          <w:szCs w:val="20"/>
          <w:lang w:val="cs-CZ"/>
        </w:rPr>
        <w:t>tzv. sponzorskou tabuli umístit viditelně v místě konání akce - u administrátora</w:t>
      </w:r>
      <w:r w:rsidR="00690C6C">
        <w:rPr>
          <w:rFonts w:ascii="Arial" w:hAnsi="Arial" w:cs="Arial"/>
          <w:sz w:val="20"/>
          <w:szCs w:val="20"/>
          <w:lang w:val="cs-CZ"/>
        </w:rPr>
        <w:t xml:space="preserve"> projektu je možnost zapůjčení. V případě, že to projekt umožňuje,</w:t>
      </w:r>
      <w:r w:rsidRPr="00CB1812">
        <w:rPr>
          <w:rFonts w:ascii="Arial" w:hAnsi="Arial" w:cs="Arial"/>
          <w:sz w:val="20"/>
          <w:szCs w:val="20"/>
          <w:lang w:val="cs-CZ"/>
        </w:rPr>
        <w:t xml:space="preserve"> slovně uvést úvodem, že akce je finančně podpo</w:t>
      </w:r>
      <w:r w:rsidR="00690C6C">
        <w:rPr>
          <w:rFonts w:ascii="Arial" w:hAnsi="Arial" w:cs="Arial"/>
          <w:sz w:val="20"/>
          <w:szCs w:val="20"/>
          <w:lang w:val="cs-CZ"/>
        </w:rPr>
        <w:t xml:space="preserve">řena statutárním městem Jihlava.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8435EF">
        <w:rPr>
          <w:sz w:val="20"/>
          <w:szCs w:val="20"/>
        </w:rPr>
        <w:t xml:space="preserve"> uznatelných nákladů na projekt.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9E640F">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9E640F">
      <w:pPr>
        <w:pStyle w:val="Odstavecseseznamem"/>
        <w:autoSpaceDE w:val="0"/>
        <w:autoSpaceDN w:val="0"/>
        <w:adjustRightInd w:val="0"/>
        <w:spacing w:line="240" w:lineRule="auto"/>
        <w:ind w:left="0"/>
        <w:jc w:val="both"/>
        <w:rPr>
          <w:bCs/>
          <w:sz w:val="20"/>
          <w:szCs w:val="20"/>
        </w:rPr>
      </w:pPr>
    </w:p>
    <w:p w:rsidR="004F3F78" w:rsidRPr="005E3C76" w:rsidRDefault="004F3F78" w:rsidP="009E640F">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690C6C">
        <w:rPr>
          <w:bCs/>
          <w:sz w:val="20"/>
          <w:szCs w:val="20"/>
        </w:rPr>
        <w:t>Administrátor dotace, případně ekonomický odbor Magistrátu města Jihlavy je oprávněn vyzvat Příjemce k podání informace o předpokládané výši čerpání dotace v případě, že bude poskytnuta na projekt pro období celého kalendářního roku s termínem předložení vyúčtování po 10. 1. Příjemce se zavazuje poskytnout informaci o předpokládané výši dotace v termínu stanoveném výzvou</w:t>
      </w:r>
      <w:r w:rsidRPr="005E3C76">
        <w:rPr>
          <w:bCs/>
          <w:sz w:val="20"/>
          <w:szCs w:val="20"/>
        </w:rPr>
        <w:t>.</w:t>
      </w:r>
    </w:p>
    <w:p w:rsidR="004F3F78" w:rsidRPr="005E3C76" w:rsidRDefault="004F3F78" w:rsidP="004F3F78">
      <w:pPr>
        <w:pStyle w:val="Odstavecseseznamem"/>
        <w:autoSpaceDE w:val="0"/>
        <w:autoSpaceDN w:val="0"/>
        <w:adjustRightInd w:val="0"/>
        <w:ind w:left="0"/>
        <w:jc w:val="both"/>
        <w:rPr>
          <w:bCs/>
          <w:sz w:val="20"/>
          <w:szCs w:val="2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4F3F78">
      <w:pPr>
        <w:pStyle w:val="Odstavecseseznamem"/>
        <w:autoSpaceDE w:val="0"/>
        <w:autoSpaceDN w:val="0"/>
        <w:adjustRightInd w:val="0"/>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5E3C76" w:rsidRDefault="004F3F78" w:rsidP="004F3F78">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0355B8" w:rsidRDefault="004F3F78" w:rsidP="000355B8">
      <w:pPr>
        <w:pStyle w:val="Odstavecseseznamem"/>
        <w:numPr>
          <w:ilvl w:val="0"/>
          <w:numId w:val="18"/>
        </w:numPr>
        <w:spacing w:line="240" w:lineRule="auto"/>
        <w:jc w:val="both"/>
        <w:rPr>
          <w:sz w:val="20"/>
          <w:szCs w:val="20"/>
        </w:rPr>
      </w:pPr>
      <w:r w:rsidRPr="005E3C76">
        <w:rPr>
          <w:sz w:val="20"/>
          <w:szCs w:val="20"/>
        </w:rPr>
        <w:lastRenderedPageBreak/>
        <w:t>v případě porušení povinnosti, stanovené v čl. IV. odst. 1) písm. j), tj. neuvedení sponzorského vzkazu, je Příjemce povinen provést odvod, který odpovídá částce</w:t>
      </w:r>
      <w:r w:rsidR="000355B8">
        <w:rPr>
          <w:sz w:val="20"/>
          <w:szCs w:val="20"/>
        </w:rPr>
        <w:t xml:space="preserve"> ve výši 10 % poskytnuté dotace.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416CD6" w:rsidRDefault="004F3F78" w:rsidP="00416CD6">
      <w:pPr>
        <w:ind w:left="567" w:hanging="207"/>
        <w:jc w:val="both"/>
        <w:rPr>
          <w:rFonts w:ascii="Arial" w:hAnsi="Arial" w:cs="Arial"/>
          <w:sz w:val="20"/>
          <w:szCs w:val="20"/>
        </w:rPr>
      </w:pPr>
      <w:r w:rsidRPr="005E3C76">
        <w:rPr>
          <w:rFonts w:ascii="Arial" w:hAnsi="Arial" w:cs="Arial"/>
          <w:sz w:val="20"/>
          <w:szCs w:val="20"/>
        </w:rPr>
        <w:t>b) Za prodlení s odvodem za porušení rozpočtové kázně je Příjemce p</w:t>
      </w:r>
      <w:r w:rsidR="00416CD6">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900F6C" w:rsidRPr="00C16A13" w:rsidRDefault="004F3F78" w:rsidP="005A7F96">
      <w:pPr>
        <w:pStyle w:val="Zkladntext"/>
        <w:numPr>
          <w:ilvl w:val="0"/>
          <w:numId w:val="15"/>
        </w:numPr>
        <w:spacing w:after="0"/>
        <w:ind w:left="426" w:hanging="426"/>
        <w:outlineLvl w:val="0"/>
        <w:rPr>
          <w:rFonts w:ascii="Arial" w:hAnsi="Arial" w:cs="Arial"/>
          <w:bCs/>
          <w:sz w:val="20"/>
          <w:szCs w:val="20"/>
          <w:lang w:val="cs-CZ"/>
        </w:rPr>
      </w:pPr>
      <w:r w:rsidRPr="00C16A13">
        <w:rPr>
          <w:rFonts w:ascii="Arial" w:hAnsi="Arial" w:cs="Arial"/>
          <w:sz w:val="20"/>
          <w:szCs w:val="20"/>
          <w:lang w:val="cs-CZ"/>
        </w:rPr>
        <w:t>Tuto smlouvu lze ukončit písemnou dohodou</w:t>
      </w:r>
      <w:r w:rsidR="00900F6C" w:rsidRPr="00C16A13">
        <w:rPr>
          <w:rFonts w:ascii="Arial" w:hAnsi="Arial" w:cs="Arial"/>
          <w:sz w:val="20"/>
          <w:szCs w:val="20"/>
          <w:lang w:val="cs-CZ"/>
        </w:rPr>
        <w:t xml:space="preserve"> smluvních stran nebo výpovědí jedné ze smluvních stran bez uvedení důvodů. </w:t>
      </w:r>
      <w:r w:rsidRPr="00C16A13">
        <w:rPr>
          <w:rFonts w:ascii="Arial" w:hAnsi="Arial" w:cs="Arial"/>
          <w:sz w:val="20"/>
          <w:szCs w:val="20"/>
          <w:lang w:val="cs-CZ"/>
        </w:rPr>
        <w:t xml:space="preserve"> </w:t>
      </w:r>
    </w:p>
    <w:p w:rsidR="004F3F78" w:rsidRPr="00900F6C" w:rsidRDefault="004F3F78" w:rsidP="005A7F96">
      <w:pPr>
        <w:pStyle w:val="Zkladntext"/>
        <w:numPr>
          <w:ilvl w:val="0"/>
          <w:numId w:val="15"/>
        </w:numPr>
        <w:spacing w:after="0"/>
        <w:ind w:left="426" w:hanging="426"/>
        <w:outlineLvl w:val="0"/>
        <w:rPr>
          <w:rFonts w:ascii="Arial" w:hAnsi="Arial" w:cs="Arial"/>
          <w:bCs/>
          <w:sz w:val="20"/>
          <w:szCs w:val="20"/>
          <w:lang w:val="cs-CZ"/>
        </w:rPr>
      </w:pPr>
      <w:r w:rsidRPr="00900F6C">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této smlouvy. Pokud Příjemce tuto povinnost nesplní, považují se finanční prostředky (případně jejich část) poskytnuté Příjemci Městem za prostředky neoprávněně použité ve smyslu zákona č. 250/2000 Sb.</w:t>
      </w:r>
    </w:p>
    <w:p w:rsidR="00A05CA7" w:rsidRDefault="00A05CA7" w:rsidP="004F3F78">
      <w:pPr>
        <w:pStyle w:val="Zkladntext"/>
        <w:spacing w:after="0"/>
        <w:jc w:val="center"/>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w:t>
      </w:r>
      <w:r w:rsidR="00687CD8">
        <w:rPr>
          <w:rFonts w:cs="Arial"/>
          <w:b w:val="0"/>
          <w:sz w:val="20"/>
        </w:rPr>
        <w:t xml:space="preserve">Obecnými zásadami pro poskytování dotací z rozpočtu statutárního města Jihlavy </w:t>
      </w:r>
      <w:r w:rsidR="008A25B2">
        <w:rPr>
          <w:rFonts w:cs="Arial"/>
          <w:b w:val="0"/>
          <w:bCs w:val="0"/>
          <w:sz w:val="20"/>
        </w:rPr>
        <w:t>schválenými 27</w:t>
      </w:r>
      <w:r w:rsidR="00687CD8">
        <w:rPr>
          <w:rFonts w:cs="Arial"/>
          <w:b w:val="0"/>
          <w:sz w:val="20"/>
        </w:rPr>
        <w:t>.</w:t>
      </w:r>
      <w:r w:rsidR="008A25B2">
        <w:rPr>
          <w:rFonts w:cs="Arial"/>
          <w:b w:val="0"/>
          <w:sz w:val="20"/>
        </w:rPr>
        <w:t xml:space="preserve"> 2. 2024</w:t>
      </w:r>
      <w:r w:rsidRPr="00984DEE">
        <w:rPr>
          <w:rFonts w:cs="Arial"/>
          <w:b w:val="0"/>
          <w:sz w:val="20"/>
        </w:rPr>
        <w:t xml:space="preserve"> usnesením Zas</w:t>
      </w:r>
      <w:r w:rsidR="008A25B2">
        <w:rPr>
          <w:rFonts w:cs="Arial"/>
          <w:b w:val="0"/>
          <w:sz w:val="20"/>
        </w:rPr>
        <w:t xml:space="preserve">tupitelstva města Jihlavy č. </w:t>
      </w:r>
      <w:proofErr w:type="gramStart"/>
      <w:r w:rsidR="008A25B2">
        <w:rPr>
          <w:rFonts w:cs="Arial"/>
          <w:b w:val="0"/>
          <w:sz w:val="20"/>
        </w:rPr>
        <w:t>507/24</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8435EF" w:rsidRDefault="004F3F78" w:rsidP="004F3F78">
      <w:pPr>
        <w:pStyle w:val="Nadpisnvrhu"/>
        <w:numPr>
          <w:ilvl w:val="0"/>
          <w:numId w:val="9"/>
        </w:numPr>
        <w:tabs>
          <w:tab w:val="clear" w:pos="720"/>
          <w:tab w:val="num" w:pos="284"/>
        </w:tabs>
        <w:ind w:left="284" w:hanging="284"/>
        <w:jc w:val="both"/>
        <w:rPr>
          <w:rFonts w:cs="Arial"/>
          <w:b w:val="0"/>
          <w:sz w:val="20"/>
        </w:rPr>
      </w:pPr>
      <w:r w:rsidRPr="008435EF">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8435EF">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4F3F78" w:rsidRPr="005E3C76" w:rsidRDefault="004F3F78" w:rsidP="004F3F78">
      <w:pPr>
        <w:pStyle w:val="Zkladntext"/>
        <w:spacing w:after="0"/>
        <w:rPr>
          <w:rFonts w:ascii="Arial" w:hAnsi="Arial" w:cs="Arial"/>
          <w:sz w:val="20"/>
          <w:szCs w:val="20"/>
          <w:lang w:val="cs-CZ"/>
        </w:rPr>
      </w:pPr>
    </w:p>
    <w:p w:rsidR="00687CD8" w:rsidRDefault="00687CD8" w:rsidP="008435EF">
      <w:pPr>
        <w:pStyle w:val="Zkladntext"/>
        <w:spacing w:after="0"/>
        <w:rPr>
          <w:rFonts w:ascii="Arial" w:hAnsi="Arial" w:cs="Arial"/>
          <w:sz w:val="20"/>
          <w:szCs w:val="20"/>
          <w:lang w:val="cs-CZ"/>
        </w:rPr>
      </w:pPr>
    </w:p>
    <w:p w:rsidR="008435EF" w:rsidRDefault="008435EF" w:rsidP="008435EF">
      <w:pPr>
        <w:pStyle w:val="Zkladntext"/>
        <w:spacing w:after="0"/>
        <w:rPr>
          <w:rFonts w:ascii="Arial" w:hAnsi="Arial" w:cs="Arial"/>
          <w:sz w:val="20"/>
          <w:szCs w:val="20"/>
          <w:lang w:val="cs-CZ"/>
        </w:rPr>
      </w:pPr>
      <w:r>
        <w:rPr>
          <w:rFonts w:ascii="Arial" w:hAnsi="Arial" w:cs="Arial"/>
          <w:sz w:val="20"/>
          <w:szCs w:val="20"/>
          <w:lang w:val="cs-CZ"/>
        </w:rPr>
        <w:t>V ………………….. dne ……………..</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t>V</w:t>
      </w:r>
      <w:r w:rsidR="004F3F78" w:rsidRPr="005E3C76">
        <w:rPr>
          <w:rFonts w:ascii="Arial" w:hAnsi="Arial" w:cs="Arial"/>
          <w:sz w:val="20"/>
          <w:szCs w:val="20"/>
          <w:lang w:val="cs-CZ"/>
        </w:rPr>
        <w:t> Jihlavě dne ………</w:t>
      </w:r>
      <w:r>
        <w:rPr>
          <w:rFonts w:ascii="Arial" w:hAnsi="Arial" w:cs="Arial"/>
          <w:sz w:val="20"/>
          <w:szCs w:val="20"/>
          <w:lang w:val="cs-CZ"/>
        </w:rPr>
        <w:t>…………………</w:t>
      </w:r>
    </w:p>
    <w:p w:rsidR="008435EF" w:rsidRDefault="008435EF" w:rsidP="008435EF">
      <w:pPr>
        <w:pStyle w:val="Zkladntext"/>
        <w:spacing w:after="0"/>
        <w:rPr>
          <w:rFonts w:ascii="Arial" w:hAnsi="Arial" w:cs="Arial"/>
          <w:sz w:val="20"/>
          <w:szCs w:val="20"/>
          <w:lang w:val="cs-CZ"/>
        </w:rPr>
      </w:pPr>
    </w:p>
    <w:p w:rsidR="00687CD8" w:rsidRDefault="00687CD8" w:rsidP="008435EF">
      <w:pPr>
        <w:pStyle w:val="Zkladntext"/>
        <w:spacing w:after="0"/>
        <w:rPr>
          <w:rFonts w:ascii="Arial" w:hAnsi="Arial" w:cs="Arial"/>
          <w:sz w:val="20"/>
          <w:szCs w:val="20"/>
          <w:lang w:val="cs-CZ"/>
        </w:rPr>
      </w:pPr>
    </w:p>
    <w:p w:rsidR="00F876BA" w:rsidRDefault="00F876BA" w:rsidP="008435EF">
      <w:pPr>
        <w:pStyle w:val="Zkladntext"/>
        <w:spacing w:after="0"/>
        <w:rPr>
          <w:rFonts w:ascii="Arial" w:hAnsi="Arial" w:cs="Arial"/>
          <w:sz w:val="20"/>
          <w:szCs w:val="20"/>
          <w:lang w:val="cs-CZ"/>
        </w:rPr>
      </w:pPr>
    </w:p>
    <w:p w:rsidR="008435EF" w:rsidRDefault="00450101" w:rsidP="008435EF">
      <w:pPr>
        <w:pStyle w:val="Zkladntext"/>
        <w:spacing w:after="0"/>
        <w:rPr>
          <w:rFonts w:ascii="Arial" w:hAnsi="Arial" w:cs="Arial"/>
          <w:sz w:val="20"/>
          <w:szCs w:val="20"/>
          <w:lang w:val="cs-CZ"/>
        </w:rPr>
      </w:pPr>
      <w:r>
        <w:rPr>
          <w:rFonts w:ascii="Arial" w:hAnsi="Arial" w:cs="Arial"/>
          <w:sz w:val="20"/>
          <w:szCs w:val="20"/>
          <w:lang w:val="cs-CZ"/>
        </w:rPr>
        <w:t>……………………………………………</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sidR="007008A0">
        <w:rPr>
          <w:rFonts w:ascii="Arial" w:hAnsi="Arial" w:cs="Arial"/>
          <w:sz w:val="20"/>
          <w:szCs w:val="20"/>
          <w:lang w:val="cs-CZ"/>
        </w:rPr>
        <w:t>……………………………………..</w:t>
      </w:r>
    </w:p>
    <w:p w:rsidR="008435EF" w:rsidRPr="008435EF" w:rsidRDefault="00687CD8" w:rsidP="008435EF">
      <w:pPr>
        <w:pStyle w:val="Zkladntext"/>
        <w:spacing w:after="0"/>
        <w:rPr>
          <w:rFonts w:ascii="Arial" w:hAnsi="Arial" w:cs="Arial"/>
          <w:sz w:val="20"/>
          <w:szCs w:val="20"/>
          <w:lang w:val="cs-CZ"/>
        </w:rPr>
      </w:pPr>
      <w:r>
        <w:rPr>
          <w:rFonts w:ascii="Arial" w:hAnsi="Arial" w:cs="Arial"/>
          <w:b/>
          <w:sz w:val="20"/>
          <w:szCs w:val="20"/>
        </w:rPr>
        <w:t xml:space="preserve">MUDr. Helena Šamonil </w:t>
      </w:r>
      <w:r w:rsidR="008435EF" w:rsidRPr="008F1C0B">
        <w:rPr>
          <w:rFonts w:ascii="Arial" w:hAnsi="Arial" w:cs="Arial"/>
          <w:b/>
          <w:bCs/>
          <w:sz w:val="20"/>
          <w:szCs w:val="20"/>
        </w:rPr>
        <w:t xml:space="preserve">  </w:t>
      </w:r>
      <w:r w:rsidR="008435EF" w:rsidRPr="005E3C76">
        <w:rPr>
          <w:rFonts w:ascii="Arial" w:hAnsi="Arial" w:cs="Arial"/>
          <w:b/>
          <w:bCs/>
          <w:sz w:val="20"/>
          <w:szCs w:val="20"/>
        </w:rPr>
        <w:t xml:space="preserve">                         </w:t>
      </w:r>
      <w:r w:rsidR="00450101">
        <w:rPr>
          <w:rFonts w:ascii="Arial" w:hAnsi="Arial" w:cs="Arial"/>
          <w:b/>
          <w:bCs/>
          <w:sz w:val="20"/>
          <w:szCs w:val="20"/>
        </w:rPr>
        <w:t xml:space="preserve">                  </w:t>
      </w:r>
      <w:r w:rsidR="005E4BE7">
        <w:rPr>
          <w:rFonts w:ascii="Arial" w:hAnsi="Arial" w:cs="Arial"/>
          <w:b/>
          <w:bCs/>
          <w:sz w:val="20"/>
          <w:szCs w:val="20"/>
        </w:rPr>
        <w:t xml:space="preserve">     </w:t>
      </w:r>
      <w:r>
        <w:rPr>
          <w:rFonts w:ascii="Arial" w:hAnsi="Arial" w:cs="Arial"/>
          <w:b/>
          <w:bCs/>
          <w:sz w:val="20"/>
          <w:szCs w:val="20"/>
        </w:rPr>
        <w:t xml:space="preserve">Ing. Richard </w:t>
      </w:r>
      <w:proofErr w:type="spellStart"/>
      <w:r>
        <w:rPr>
          <w:rFonts w:ascii="Arial" w:hAnsi="Arial" w:cs="Arial"/>
          <w:b/>
          <w:bCs/>
          <w:sz w:val="20"/>
          <w:szCs w:val="20"/>
        </w:rPr>
        <w:t>Šedivý</w:t>
      </w:r>
      <w:proofErr w:type="spellEnd"/>
      <w:r>
        <w:rPr>
          <w:rFonts w:ascii="Arial" w:hAnsi="Arial" w:cs="Arial"/>
          <w:b/>
          <w:bCs/>
          <w:sz w:val="20"/>
          <w:szCs w:val="20"/>
        </w:rPr>
        <w:t xml:space="preserve"> </w:t>
      </w:r>
    </w:p>
    <w:p w:rsidR="008435EF" w:rsidRPr="008715AA" w:rsidRDefault="008435EF" w:rsidP="008435EF">
      <w:pPr>
        <w:tabs>
          <w:tab w:val="left" w:pos="142"/>
          <w:tab w:val="left" w:pos="708"/>
          <w:tab w:val="left" w:pos="1416"/>
          <w:tab w:val="left" w:pos="2124"/>
          <w:tab w:val="left" w:pos="2832"/>
          <w:tab w:val="left" w:pos="3540"/>
          <w:tab w:val="left" w:pos="4248"/>
          <w:tab w:val="left" w:pos="4956"/>
        </w:tabs>
        <w:rPr>
          <w:rStyle w:val="Siln"/>
          <w:rFonts w:ascii="Arial" w:hAnsi="Arial" w:cs="Arial"/>
          <w:sz w:val="20"/>
          <w:szCs w:val="20"/>
        </w:rPr>
      </w:pPr>
      <w:r>
        <w:rPr>
          <w:rFonts w:ascii="Arial" w:hAnsi="Arial" w:cs="Arial"/>
          <w:b/>
          <w:bCs/>
          <w:sz w:val="20"/>
          <w:szCs w:val="20"/>
        </w:rPr>
        <w:t>jednatel</w:t>
      </w:r>
      <w:r w:rsidR="00687CD8">
        <w:rPr>
          <w:rFonts w:ascii="Arial" w:hAnsi="Arial" w:cs="Arial"/>
          <w:b/>
          <w:bCs/>
          <w:sz w:val="20"/>
          <w:szCs w:val="20"/>
        </w:rPr>
        <w:t xml:space="preserve">ka </w:t>
      </w:r>
      <w:r w:rsidR="00687CD8">
        <w:rPr>
          <w:rFonts w:ascii="Arial" w:hAnsi="Arial" w:cs="Arial"/>
          <w:b/>
          <w:bCs/>
          <w:sz w:val="20"/>
          <w:szCs w:val="20"/>
        </w:rPr>
        <w:tab/>
      </w:r>
      <w:r w:rsidR="00687CD8">
        <w:rPr>
          <w:rFonts w:ascii="Arial" w:hAnsi="Arial" w:cs="Arial"/>
          <w:b/>
          <w:bCs/>
          <w:sz w:val="20"/>
          <w:szCs w:val="20"/>
        </w:rPr>
        <w:tab/>
      </w:r>
      <w:r w:rsidR="00687CD8">
        <w:rPr>
          <w:rFonts w:ascii="Arial" w:hAnsi="Arial" w:cs="Arial"/>
          <w:b/>
          <w:bCs/>
          <w:sz w:val="20"/>
          <w:szCs w:val="20"/>
        </w:rPr>
        <w:tab/>
      </w:r>
      <w:r w:rsidR="00687CD8">
        <w:rPr>
          <w:rFonts w:ascii="Arial" w:hAnsi="Arial" w:cs="Arial"/>
          <w:b/>
          <w:bCs/>
          <w:sz w:val="20"/>
          <w:szCs w:val="20"/>
        </w:rPr>
        <w:tab/>
      </w:r>
      <w:r w:rsidR="00687CD8">
        <w:rPr>
          <w:rFonts w:ascii="Arial" w:hAnsi="Arial" w:cs="Arial"/>
          <w:b/>
          <w:bCs/>
          <w:sz w:val="20"/>
          <w:szCs w:val="20"/>
        </w:rPr>
        <w:tab/>
      </w:r>
      <w:r w:rsidR="00687CD8">
        <w:rPr>
          <w:rFonts w:ascii="Arial" w:hAnsi="Arial" w:cs="Arial"/>
          <w:b/>
          <w:bCs/>
          <w:sz w:val="20"/>
          <w:szCs w:val="20"/>
        </w:rPr>
        <w:tab/>
        <w:t>náměstek primátora</w:t>
      </w:r>
    </w:p>
    <w:sectPr w:rsidR="008435EF" w:rsidRPr="008715AA"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9C" w:rsidRDefault="00FE069C" w:rsidP="00E14375">
      <w:r>
        <w:separator/>
      </w:r>
    </w:p>
  </w:endnote>
  <w:endnote w:type="continuationSeparator" w:id="0">
    <w:p w:rsidR="00FE069C" w:rsidRDefault="00FE069C"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9C" w:rsidRDefault="00FE069C" w:rsidP="00E14375">
      <w:r>
        <w:separator/>
      </w:r>
    </w:p>
  </w:footnote>
  <w:footnote w:type="continuationSeparator" w:id="0">
    <w:p w:rsidR="00FE069C" w:rsidRDefault="00FE069C"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4"/>
  </w:num>
  <w:num w:numId="5">
    <w:abstractNumId w:val="13"/>
  </w:num>
  <w:num w:numId="6">
    <w:abstractNumId w:val="7"/>
  </w:num>
  <w:num w:numId="7">
    <w:abstractNumId w:val="16"/>
  </w:num>
  <w:num w:numId="8">
    <w:abstractNumId w:val="1"/>
  </w:num>
  <w:num w:numId="9">
    <w:abstractNumId w:val="17"/>
  </w:num>
  <w:num w:numId="10">
    <w:abstractNumId w:val="0"/>
  </w:num>
  <w:num w:numId="11">
    <w:abstractNumId w:val="10"/>
  </w:num>
  <w:num w:numId="12">
    <w:abstractNumId w:val="5"/>
  </w:num>
  <w:num w:numId="13">
    <w:abstractNumId w:val="8"/>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3080"/>
    <w:rsid w:val="000051D1"/>
    <w:rsid w:val="00010EF5"/>
    <w:rsid w:val="00012C0E"/>
    <w:rsid w:val="000355B8"/>
    <w:rsid w:val="000356DA"/>
    <w:rsid w:val="00052245"/>
    <w:rsid w:val="000560F3"/>
    <w:rsid w:val="00056581"/>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93801"/>
    <w:rsid w:val="001B2586"/>
    <w:rsid w:val="001D2AF3"/>
    <w:rsid w:val="001D353B"/>
    <w:rsid w:val="001F1956"/>
    <w:rsid w:val="001F656D"/>
    <w:rsid w:val="002071D8"/>
    <w:rsid w:val="00221E6F"/>
    <w:rsid w:val="00221F35"/>
    <w:rsid w:val="002235DE"/>
    <w:rsid w:val="00224098"/>
    <w:rsid w:val="00227163"/>
    <w:rsid w:val="00247A03"/>
    <w:rsid w:val="00252DD1"/>
    <w:rsid w:val="002550E9"/>
    <w:rsid w:val="0025595D"/>
    <w:rsid w:val="002748EF"/>
    <w:rsid w:val="002819D9"/>
    <w:rsid w:val="00297A55"/>
    <w:rsid w:val="002B78B4"/>
    <w:rsid w:val="002E3CBB"/>
    <w:rsid w:val="00304ACA"/>
    <w:rsid w:val="00306726"/>
    <w:rsid w:val="00312868"/>
    <w:rsid w:val="00333E29"/>
    <w:rsid w:val="00336687"/>
    <w:rsid w:val="003466B3"/>
    <w:rsid w:val="00390D5B"/>
    <w:rsid w:val="00396272"/>
    <w:rsid w:val="003B69F6"/>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16CD6"/>
    <w:rsid w:val="00430037"/>
    <w:rsid w:val="004361CC"/>
    <w:rsid w:val="004404B3"/>
    <w:rsid w:val="0044441C"/>
    <w:rsid w:val="004471EB"/>
    <w:rsid w:val="00450101"/>
    <w:rsid w:val="00465E97"/>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4615A"/>
    <w:rsid w:val="0055007A"/>
    <w:rsid w:val="00555930"/>
    <w:rsid w:val="005608D8"/>
    <w:rsid w:val="005612CF"/>
    <w:rsid w:val="00567D21"/>
    <w:rsid w:val="00581DE2"/>
    <w:rsid w:val="00586EED"/>
    <w:rsid w:val="005A0DF0"/>
    <w:rsid w:val="005A1844"/>
    <w:rsid w:val="005B7FBD"/>
    <w:rsid w:val="005D4738"/>
    <w:rsid w:val="005E292A"/>
    <w:rsid w:val="005E4BE7"/>
    <w:rsid w:val="005F35A1"/>
    <w:rsid w:val="006139B3"/>
    <w:rsid w:val="006239ED"/>
    <w:rsid w:val="0064277F"/>
    <w:rsid w:val="00673FE2"/>
    <w:rsid w:val="00687CD8"/>
    <w:rsid w:val="0069068C"/>
    <w:rsid w:val="00690C6C"/>
    <w:rsid w:val="00694E63"/>
    <w:rsid w:val="006A4316"/>
    <w:rsid w:val="006E55EE"/>
    <w:rsid w:val="006F2468"/>
    <w:rsid w:val="007008A0"/>
    <w:rsid w:val="00715910"/>
    <w:rsid w:val="007169FD"/>
    <w:rsid w:val="00722526"/>
    <w:rsid w:val="00730BAD"/>
    <w:rsid w:val="007316EA"/>
    <w:rsid w:val="0073378D"/>
    <w:rsid w:val="007463C0"/>
    <w:rsid w:val="00752ACE"/>
    <w:rsid w:val="00753DF2"/>
    <w:rsid w:val="00760EBC"/>
    <w:rsid w:val="007732A7"/>
    <w:rsid w:val="007A671E"/>
    <w:rsid w:val="007C2EF0"/>
    <w:rsid w:val="00815C40"/>
    <w:rsid w:val="008177D5"/>
    <w:rsid w:val="00822871"/>
    <w:rsid w:val="008232CD"/>
    <w:rsid w:val="0082728E"/>
    <w:rsid w:val="008313BF"/>
    <w:rsid w:val="00835F8D"/>
    <w:rsid w:val="008435EF"/>
    <w:rsid w:val="0085732E"/>
    <w:rsid w:val="00860221"/>
    <w:rsid w:val="00872A8C"/>
    <w:rsid w:val="00886F9C"/>
    <w:rsid w:val="008A25B2"/>
    <w:rsid w:val="008B05FF"/>
    <w:rsid w:val="008B5784"/>
    <w:rsid w:val="008B6A5B"/>
    <w:rsid w:val="008C0EFF"/>
    <w:rsid w:val="008C4FA9"/>
    <w:rsid w:val="008C638E"/>
    <w:rsid w:val="008C7884"/>
    <w:rsid w:val="008C7EED"/>
    <w:rsid w:val="008D1DA8"/>
    <w:rsid w:val="008F7012"/>
    <w:rsid w:val="00900F6C"/>
    <w:rsid w:val="00902409"/>
    <w:rsid w:val="00945372"/>
    <w:rsid w:val="00956069"/>
    <w:rsid w:val="009748D8"/>
    <w:rsid w:val="0097551C"/>
    <w:rsid w:val="009A7566"/>
    <w:rsid w:val="009B05CA"/>
    <w:rsid w:val="009B33BE"/>
    <w:rsid w:val="009B4C21"/>
    <w:rsid w:val="009B5DA9"/>
    <w:rsid w:val="009C4F45"/>
    <w:rsid w:val="009C6081"/>
    <w:rsid w:val="009D032F"/>
    <w:rsid w:val="009D0479"/>
    <w:rsid w:val="009E5B9A"/>
    <w:rsid w:val="009E640F"/>
    <w:rsid w:val="009E76C2"/>
    <w:rsid w:val="009F4055"/>
    <w:rsid w:val="009F4E8A"/>
    <w:rsid w:val="00A051EB"/>
    <w:rsid w:val="00A05CA7"/>
    <w:rsid w:val="00A06AA2"/>
    <w:rsid w:val="00A13FD9"/>
    <w:rsid w:val="00A26223"/>
    <w:rsid w:val="00A43FEE"/>
    <w:rsid w:val="00A45F90"/>
    <w:rsid w:val="00A54842"/>
    <w:rsid w:val="00A6527F"/>
    <w:rsid w:val="00A65ED0"/>
    <w:rsid w:val="00A7641C"/>
    <w:rsid w:val="00A80F73"/>
    <w:rsid w:val="00A937A5"/>
    <w:rsid w:val="00A97ABF"/>
    <w:rsid w:val="00AB2921"/>
    <w:rsid w:val="00AC134E"/>
    <w:rsid w:val="00AC16EB"/>
    <w:rsid w:val="00AD55A0"/>
    <w:rsid w:val="00B00179"/>
    <w:rsid w:val="00B1357B"/>
    <w:rsid w:val="00B33525"/>
    <w:rsid w:val="00B35299"/>
    <w:rsid w:val="00B438E2"/>
    <w:rsid w:val="00B511BD"/>
    <w:rsid w:val="00B53E8B"/>
    <w:rsid w:val="00B66C2D"/>
    <w:rsid w:val="00B7758A"/>
    <w:rsid w:val="00B809A3"/>
    <w:rsid w:val="00B86E3B"/>
    <w:rsid w:val="00BB18F0"/>
    <w:rsid w:val="00BB4FD3"/>
    <w:rsid w:val="00BB7F3F"/>
    <w:rsid w:val="00BC1460"/>
    <w:rsid w:val="00BC2C69"/>
    <w:rsid w:val="00BD030A"/>
    <w:rsid w:val="00BD7A58"/>
    <w:rsid w:val="00C1211A"/>
    <w:rsid w:val="00C123C7"/>
    <w:rsid w:val="00C14433"/>
    <w:rsid w:val="00C16A13"/>
    <w:rsid w:val="00C16FAB"/>
    <w:rsid w:val="00C26E0A"/>
    <w:rsid w:val="00C31052"/>
    <w:rsid w:val="00C376FF"/>
    <w:rsid w:val="00C45A66"/>
    <w:rsid w:val="00C5608B"/>
    <w:rsid w:val="00C62232"/>
    <w:rsid w:val="00C64A31"/>
    <w:rsid w:val="00C661B1"/>
    <w:rsid w:val="00C74D9E"/>
    <w:rsid w:val="00C82B3F"/>
    <w:rsid w:val="00CA0882"/>
    <w:rsid w:val="00CA2F48"/>
    <w:rsid w:val="00CA32A4"/>
    <w:rsid w:val="00CA7F33"/>
    <w:rsid w:val="00CB1812"/>
    <w:rsid w:val="00CB2B52"/>
    <w:rsid w:val="00CB3250"/>
    <w:rsid w:val="00CB4B9D"/>
    <w:rsid w:val="00CC1643"/>
    <w:rsid w:val="00D0052D"/>
    <w:rsid w:val="00D06213"/>
    <w:rsid w:val="00D0782D"/>
    <w:rsid w:val="00D13D05"/>
    <w:rsid w:val="00D164B1"/>
    <w:rsid w:val="00D31EEC"/>
    <w:rsid w:val="00D32E32"/>
    <w:rsid w:val="00D46647"/>
    <w:rsid w:val="00D47924"/>
    <w:rsid w:val="00D541C0"/>
    <w:rsid w:val="00D55523"/>
    <w:rsid w:val="00D65A05"/>
    <w:rsid w:val="00D801F7"/>
    <w:rsid w:val="00DA6CD0"/>
    <w:rsid w:val="00DB1F4E"/>
    <w:rsid w:val="00DB3FB9"/>
    <w:rsid w:val="00DE6463"/>
    <w:rsid w:val="00DF1F65"/>
    <w:rsid w:val="00E038CE"/>
    <w:rsid w:val="00E11713"/>
    <w:rsid w:val="00E14375"/>
    <w:rsid w:val="00E15689"/>
    <w:rsid w:val="00E16884"/>
    <w:rsid w:val="00E16F0D"/>
    <w:rsid w:val="00E17ADA"/>
    <w:rsid w:val="00E229C8"/>
    <w:rsid w:val="00E25BBB"/>
    <w:rsid w:val="00E3623D"/>
    <w:rsid w:val="00E36D74"/>
    <w:rsid w:val="00E53E1D"/>
    <w:rsid w:val="00E645D7"/>
    <w:rsid w:val="00E7021D"/>
    <w:rsid w:val="00E773C9"/>
    <w:rsid w:val="00E833EA"/>
    <w:rsid w:val="00E84CAE"/>
    <w:rsid w:val="00EB6BC9"/>
    <w:rsid w:val="00ED68D4"/>
    <w:rsid w:val="00ED6994"/>
    <w:rsid w:val="00F104A2"/>
    <w:rsid w:val="00F249F8"/>
    <w:rsid w:val="00F50386"/>
    <w:rsid w:val="00F8051E"/>
    <w:rsid w:val="00F84163"/>
    <w:rsid w:val="00F876BA"/>
    <w:rsid w:val="00F90CD3"/>
    <w:rsid w:val="00FC53D3"/>
    <w:rsid w:val="00FE069C"/>
    <w:rsid w:val="00FF2E05"/>
    <w:rsid w:val="00FF6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82092"/>
  <w15:docId w15:val="{2375023C-AC35-4891-8B7A-725F4680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9514">
      <w:bodyDiv w:val="1"/>
      <w:marLeft w:val="0"/>
      <w:marRight w:val="0"/>
      <w:marTop w:val="0"/>
      <w:marBottom w:val="0"/>
      <w:divBdr>
        <w:top w:val="none" w:sz="0" w:space="0" w:color="auto"/>
        <w:left w:val="none" w:sz="0" w:space="0" w:color="auto"/>
        <w:bottom w:val="none" w:sz="0" w:space="0" w:color="auto"/>
        <w:right w:val="none" w:sz="0" w:space="0" w:color="auto"/>
      </w:divBdr>
    </w:div>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B57E-36A3-4510-8694-D11D59F2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2397</Words>
  <Characters>14398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16762</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3</cp:revision>
  <cp:lastPrinted>2020-04-20T09:15:00Z</cp:lastPrinted>
  <dcterms:created xsi:type="dcterms:W3CDTF">2025-06-03T06:22:00Z</dcterms:created>
  <dcterms:modified xsi:type="dcterms:W3CDTF">2025-06-03T07:37:00Z</dcterms:modified>
</cp:coreProperties>
</file>