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B3B" w:rsidRDefault="004F2B3B">
      <w:pPr>
        <w:spacing w:after="160" w:line="259" w:lineRule="auto"/>
        <w:rPr>
          <w:rFonts w:ascii="Cambria" w:hAnsi="Cambria"/>
          <w:b/>
          <w:sz w:val="28"/>
          <w:szCs w:val="28"/>
        </w:rPr>
      </w:pPr>
    </w:p>
    <w:p w:rsidR="004F2B3B" w:rsidRPr="0035695A" w:rsidRDefault="004F2B3B" w:rsidP="004F2B3B">
      <w:pPr>
        <w:widowControl w:val="0"/>
        <w:jc w:val="center"/>
        <w:rPr>
          <w:rFonts w:ascii="Cambria" w:hAnsi="Cambria"/>
          <w:b/>
          <w:sz w:val="28"/>
          <w:szCs w:val="28"/>
        </w:rPr>
      </w:pPr>
      <w:r w:rsidRPr="0035695A">
        <w:rPr>
          <w:rFonts w:ascii="Cambria" w:hAnsi="Cambria"/>
          <w:b/>
          <w:sz w:val="28"/>
          <w:szCs w:val="28"/>
        </w:rPr>
        <w:t>Smlouva o spolupráci</w:t>
      </w:r>
    </w:p>
    <w:p w:rsidR="004F2B3B" w:rsidRPr="0035695A" w:rsidRDefault="004F2B3B" w:rsidP="004F2B3B">
      <w:pPr>
        <w:widowControl w:val="0"/>
        <w:jc w:val="center"/>
        <w:rPr>
          <w:rFonts w:ascii="Cambria" w:hAnsi="Cambria"/>
          <w:b/>
          <w:sz w:val="28"/>
          <w:szCs w:val="28"/>
        </w:rPr>
      </w:pPr>
      <w:r w:rsidRPr="0035695A">
        <w:rPr>
          <w:rFonts w:ascii="Cambria" w:hAnsi="Cambria"/>
          <w:b/>
          <w:sz w:val="28"/>
          <w:szCs w:val="28"/>
        </w:rPr>
        <w:t>na realizaci protihlukových opatření v části statutárního města Jihlavy Horní Kosov</w:t>
      </w:r>
    </w:p>
    <w:p w:rsidR="004F2B3B" w:rsidRPr="0035695A" w:rsidRDefault="004F2B3B" w:rsidP="004F2B3B">
      <w:pPr>
        <w:widowControl w:val="0"/>
        <w:jc w:val="both"/>
        <w:rPr>
          <w:rFonts w:ascii="Cambria" w:hAnsi="Cambria"/>
          <w:b/>
          <w:sz w:val="28"/>
          <w:szCs w:val="28"/>
        </w:rPr>
      </w:pPr>
    </w:p>
    <w:p w:rsidR="004F2B3B" w:rsidRPr="0035695A" w:rsidRDefault="004F2B3B" w:rsidP="004F2B3B">
      <w:pPr>
        <w:widowControl w:val="0"/>
        <w:jc w:val="both"/>
        <w:rPr>
          <w:rFonts w:ascii="Cambria" w:hAnsi="Cambria"/>
          <w:b/>
          <w:sz w:val="24"/>
          <w:szCs w:val="24"/>
        </w:rPr>
      </w:pPr>
      <w:r w:rsidRPr="0035695A">
        <w:rPr>
          <w:rFonts w:ascii="Cambria" w:hAnsi="Cambria"/>
          <w:b/>
          <w:sz w:val="24"/>
          <w:szCs w:val="24"/>
        </w:rPr>
        <w:t>Smluvní strany:</w:t>
      </w:r>
    </w:p>
    <w:p w:rsidR="004F2B3B" w:rsidRPr="0035695A" w:rsidRDefault="004F2B3B" w:rsidP="004F2B3B">
      <w:pPr>
        <w:widowControl w:val="0"/>
        <w:jc w:val="both"/>
        <w:rPr>
          <w:rFonts w:ascii="Cambria" w:hAnsi="Cambria"/>
          <w:snapToGrid w:val="0"/>
          <w:szCs w:val="22"/>
        </w:rPr>
      </w:pPr>
    </w:p>
    <w:p w:rsidR="004F2B3B" w:rsidRPr="0035695A" w:rsidRDefault="004F2B3B" w:rsidP="004F2B3B">
      <w:pPr>
        <w:pStyle w:val="Odstavecseseznamem"/>
        <w:widowControl w:val="0"/>
        <w:numPr>
          <w:ilvl w:val="0"/>
          <w:numId w:val="2"/>
        </w:numPr>
        <w:tabs>
          <w:tab w:val="left" w:pos="1134"/>
        </w:tabs>
        <w:jc w:val="both"/>
        <w:rPr>
          <w:szCs w:val="22"/>
        </w:rPr>
      </w:pPr>
      <w:r w:rsidRPr="0035695A">
        <w:rPr>
          <w:b/>
          <w:bCs/>
        </w:rPr>
        <w:t>NA FRANTIŠKU I, s.r.o.</w:t>
      </w:r>
      <w:r w:rsidRPr="0035695A">
        <w:rPr>
          <w:szCs w:val="22"/>
        </w:rPr>
        <w:t xml:space="preserve">, se sídlem Židovská 1143/31, 586 01 Jihlava, IČO: </w:t>
      </w:r>
      <w:r w:rsidRPr="0035695A">
        <w:t>06006 469</w:t>
      </w:r>
      <w:r w:rsidRPr="0035695A">
        <w:rPr>
          <w:szCs w:val="22"/>
        </w:rPr>
        <w:t xml:space="preserve">, zapsaná v obchodním rejstříku vedeném </w:t>
      </w:r>
      <w:r w:rsidRPr="0035695A">
        <w:t>Krajským soudem v Brně</w:t>
      </w:r>
      <w:r w:rsidRPr="0035695A">
        <w:rPr>
          <w:szCs w:val="22"/>
        </w:rPr>
        <w:t xml:space="preserve"> pod sp. zn.: </w:t>
      </w:r>
      <w:r w:rsidRPr="0035695A">
        <w:t>C 99462</w:t>
      </w:r>
      <w:r w:rsidRPr="0035695A">
        <w:rPr>
          <w:szCs w:val="22"/>
        </w:rPr>
        <w:t xml:space="preserve">, zastoupena </w:t>
      </w:r>
      <w:r w:rsidRPr="0035695A">
        <w:t>jednatelem Mgr. Milanem Voborníkem, e-mail: milan.vobornik@akv-ji.cz</w:t>
      </w:r>
    </w:p>
    <w:p w:rsidR="004F2B3B" w:rsidRPr="00C201B3" w:rsidRDefault="004F2B3B" w:rsidP="004F2B3B">
      <w:pPr>
        <w:widowControl w:val="0"/>
        <w:tabs>
          <w:tab w:val="left" w:pos="1134"/>
        </w:tabs>
        <w:jc w:val="both"/>
        <w:rPr>
          <w:rFonts w:ascii="Cambria" w:hAnsi="Cambria"/>
        </w:rPr>
      </w:pPr>
      <w:r w:rsidRPr="00C201B3">
        <w:rPr>
          <w:rFonts w:ascii="Cambria" w:hAnsi="Cambria"/>
        </w:rPr>
        <w:t xml:space="preserve">            </w:t>
      </w:r>
      <w:r w:rsidRPr="00C201B3">
        <w:rPr>
          <w:rFonts w:ascii="Cambria" w:hAnsi="Cambria"/>
        </w:rPr>
        <w:tab/>
        <w:t>(dále také jako společnost „</w:t>
      </w:r>
      <w:r w:rsidRPr="0035695A">
        <w:rPr>
          <w:rFonts w:ascii="Cambria" w:hAnsi="Cambria"/>
          <w:b/>
        </w:rPr>
        <w:t>NA FRANTIŠKU</w:t>
      </w:r>
      <w:r w:rsidRPr="00C201B3">
        <w:rPr>
          <w:rFonts w:ascii="Cambria" w:hAnsi="Cambria"/>
          <w:b/>
        </w:rPr>
        <w:t xml:space="preserve"> I, s.r.o.</w:t>
      </w:r>
      <w:r w:rsidRPr="00C201B3">
        <w:rPr>
          <w:rFonts w:ascii="Cambria" w:hAnsi="Cambria"/>
        </w:rPr>
        <w:t>“)</w:t>
      </w:r>
    </w:p>
    <w:p w:rsidR="004F2B3B" w:rsidRPr="00C201B3" w:rsidRDefault="004F2B3B" w:rsidP="004F2B3B">
      <w:pPr>
        <w:widowControl w:val="0"/>
        <w:tabs>
          <w:tab w:val="left" w:pos="1134"/>
        </w:tabs>
        <w:jc w:val="both"/>
        <w:rPr>
          <w:rFonts w:ascii="Cambria" w:hAnsi="Cambria"/>
        </w:rPr>
      </w:pPr>
    </w:p>
    <w:p w:rsidR="004F2B3B" w:rsidRPr="00C201B3" w:rsidRDefault="004F2B3B" w:rsidP="004F2B3B">
      <w:pPr>
        <w:widowControl w:val="0"/>
        <w:tabs>
          <w:tab w:val="left" w:pos="1134"/>
        </w:tabs>
        <w:ind w:left="1134"/>
        <w:jc w:val="both"/>
        <w:rPr>
          <w:rFonts w:ascii="Cambria" w:hAnsi="Cambria"/>
        </w:rPr>
      </w:pPr>
      <w:r w:rsidRPr="00C201B3">
        <w:rPr>
          <w:rFonts w:ascii="Cambria" w:hAnsi="Cambria"/>
          <w:b/>
        </w:rPr>
        <w:t xml:space="preserve">LANDWEALTH CZ s.r.o., </w:t>
      </w:r>
      <w:r w:rsidRPr="00C201B3">
        <w:rPr>
          <w:rFonts w:ascii="Cambria" w:hAnsi="Cambria"/>
        </w:rPr>
        <w:t xml:space="preserve">se sídlem Heroltice 65, PSČ 586 01 Jihlava, IČO: 26225328, zapsaná v obchodním rejstříku vedeném Krajským soudem v Brně pod sp. zn. C 38183, zastoupena jednatelem Ing. Milanem Johnem, e-mail: john@tracebeck.eu </w:t>
      </w:r>
    </w:p>
    <w:p w:rsidR="004F2B3B" w:rsidRPr="00C201B3" w:rsidRDefault="004F2B3B" w:rsidP="004F2B3B">
      <w:pPr>
        <w:widowControl w:val="0"/>
        <w:tabs>
          <w:tab w:val="left" w:pos="1134"/>
        </w:tabs>
        <w:jc w:val="both"/>
        <w:rPr>
          <w:rFonts w:ascii="Cambria" w:hAnsi="Cambria"/>
        </w:rPr>
      </w:pPr>
      <w:r w:rsidRPr="00C201B3">
        <w:rPr>
          <w:rFonts w:ascii="Cambria" w:hAnsi="Cambria"/>
        </w:rPr>
        <w:tab/>
        <w:t>(dále také jako společnost „</w:t>
      </w:r>
      <w:r w:rsidRPr="00C201B3">
        <w:rPr>
          <w:rFonts w:ascii="Cambria" w:hAnsi="Cambria"/>
          <w:b/>
        </w:rPr>
        <w:t>LANDWEALTH CZ s.r.o.</w:t>
      </w:r>
      <w:r w:rsidRPr="00C201B3">
        <w:rPr>
          <w:rFonts w:ascii="Cambria" w:hAnsi="Cambria"/>
        </w:rPr>
        <w:t>“)</w:t>
      </w:r>
    </w:p>
    <w:p w:rsidR="004F2B3B" w:rsidRPr="0035695A" w:rsidRDefault="004F2B3B" w:rsidP="004F2B3B">
      <w:pPr>
        <w:pStyle w:val="Odstavecseseznamem"/>
        <w:widowControl w:val="0"/>
        <w:tabs>
          <w:tab w:val="left" w:pos="1134"/>
        </w:tabs>
        <w:jc w:val="both"/>
        <w:rPr>
          <w:szCs w:val="22"/>
        </w:rPr>
      </w:pPr>
    </w:p>
    <w:p w:rsidR="004F2B3B" w:rsidRPr="00C201B3" w:rsidRDefault="004F2B3B" w:rsidP="004F2B3B">
      <w:pPr>
        <w:widowControl w:val="0"/>
        <w:tabs>
          <w:tab w:val="left" w:pos="1134"/>
        </w:tabs>
        <w:ind w:left="1134"/>
        <w:jc w:val="both"/>
        <w:rPr>
          <w:rFonts w:ascii="Cambria" w:hAnsi="Cambria"/>
        </w:rPr>
      </w:pPr>
      <w:r w:rsidRPr="00C201B3">
        <w:rPr>
          <w:rFonts w:ascii="Cambria" w:hAnsi="Cambria"/>
          <w:b/>
        </w:rPr>
        <w:t>SLD Jihlava s.r.o.,</w:t>
      </w:r>
      <w:r w:rsidRPr="00C201B3">
        <w:rPr>
          <w:rFonts w:ascii="Cambria" w:hAnsi="Cambria"/>
        </w:rPr>
        <w:t xml:space="preserve"> se sídlem </w:t>
      </w:r>
      <w:r w:rsidRPr="0035695A">
        <w:rPr>
          <w:rFonts w:ascii="Cambria" w:hAnsi="Cambria"/>
          <w:szCs w:val="22"/>
        </w:rPr>
        <w:t>Žarošická 4395/13, Židenice, 628</w:t>
      </w:r>
      <w:r w:rsidRPr="00C201B3">
        <w:rPr>
          <w:rFonts w:ascii="Cambria" w:hAnsi="Cambria"/>
        </w:rPr>
        <w:t xml:space="preserve"> 00 Brno, IČO: 06107753, zapsaná v obchodním rejstříku vedeném Krajským soudem v Brně pod sp. zn.: C 100097, zastoupena jednatelem Oliverem Kurucem, e-mail: finance@rezidencebukova.cz</w:t>
      </w:r>
    </w:p>
    <w:p w:rsidR="004F2B3B" w:rsidRPr="00C201B3" w:rsidRDefault="004F2B3B" w:rsidP="004F2B3B">
      <w:pPr>
        <w:widowControl w:val="0"/>
        <w:tabs>
          <w:tab w:val="left" w:pos="1134"/>
        </w:tabs>
        <w:jc w:val="both"/>
        <w:rPr>
          <w:rFonts w:ascii="Cambria" w:hAnsi="Cambria"/>
        </w:rPr>
      </w:pPr>
      <w:r w:rsidRPr="00C201B3">
        <w:rPr>
          <w:rFonts w:ascii="Cambria" w:hAnsi="Cambria"/>
        </w:rPr>
        <w:tab/>
        <w:t>(dále také jako společnost „</w:t>
      </w:r>
      <w:r w:rsidRPr="00C201B3">
        <w:rPr>
          <w:rFonts w:ascii="Cambria" w:hAnsi="Cambria"/>
          <w:b/>
        </w:rPr>
        <w:t>SLD Jihlava s.r.o.</w:t>
      </w:r>
      <w:r w:rsidRPr="00C201B3">
        <w:rPr>
          <w:rFonts w:ascii="Cambria" w:hAnsi="Cambria"/>
        </w:rPr>
        <w:t>“)</w:t>
      </w:r>
    </w:p>
    <w:p w:rsidR="004F2B3B" w:rsidRPr="00C201B3" w:rsidRDefault="004F2B3B" w:rsidP="004F2B3B">
      <w:pPr>
        <w:widowControl w:val="0"/>
        <w:tabs>
          <w:tab w:val="left" w:pos="1134"/>
        </w:tabs>
        <w:jc w:val="both"/>
        <w:rPr>
          <w:rFonts w:ascii="Cambria" w:hAnsi="Cambria"/>
        </w:rPr>
      </w:pPr>
    </w:p>
    <w:p w:rsidR="004F2B3B" w:rsidRPr="0035695A" w:rsidRDefault="004F2B3B" w:rsidP="004F2B3B">
      <w:pPr>
        <w:widowControl w:val="0"/>
        <w:tabs>
          <w:tab w:val="left" w:pos="1134"/>
        </w:tabs>
        <w:jc w:val="both"/>
        <w:rPr>
          <w:rFonts w:ascii="Cambria" w:hAnsi="Cambria"/>
          <w:color w:val="000000" w:themeColor="text1"/>
          <w:szCs w:val="22"/>
        </w:rPr>
      </w:pPr>
      <w:r w:rsidRPr="0035695A">
        <w:rPr>
          <w:rFonts w:ascii="Cambria" w:hAnsi="Cambria"/>
          <w:szCs w:val="22"/>
        </w:rPr>
        <w:tab/>
        <w:t>(dále také společně jako „</w:t>
      </w:r>
      <w:r w:rsidRPr="0035695A">
        <w:rPr>
          <w:rFonts w:ascii="Cambria" w:hAnsi="Cambria"/>
          <w:b/>
          <w:szCs w:val="22"/>
        </w:rPr>
        <w:t>Investoři</w:t>
      </w:r>
      <w:r w:rsidRPr="0035695A">
        <w:rPr>
          <w:rFonts w:ascii="Cambria" w:hAnsi="Cambria"/>
          <w:szCs w:val="22"/>
        </w:rPr>
        <w:t xml:space="preserve">“, každý samostatně také jako </w:t>
      </w:r>
      <w:r w:rsidRPr="0035695A">
        <w:rPr>
          <w:rFonts w:ascii="Cambria" w:hAnsi="Cambria"/>
          <w:b/>
          <w:szCs w:val="22"/>
        </w:rPr>
        <w:t>„Investor“</w:t>
      </w:r>
      <w:r w:rsidRPr="0035695A">
        <w:rPr>
          <w:rFonts w:ascii="Cambria" w:hAnsi="Cambria"/>
          <w:szCs w:val="22"/>
        </w:rPr>
        <w:t>)</w:t>
      </w:r>
    </w:p>
    <w:p w:rsidR="004F2B3B" w:rsidRPr="0035695A" w:rsidRDefault="004F2B3B" w:rsidP="004F2B3B">
      <w:pPr>
        <w:widowControl w:val="0"/>
        <w:jc w:val="both"/>
        <w:rPr>
          <w:rFonts w:ascii="Cambria" w:hAnsi="Cambria"/>
          <w:color w:val="000000" w:themeColor="text1"/>
          <w:szCs w:val="22"/>
        </w:rPr>
      </w:pPr>
    </w:p>
    <w:p w:rsidR="004F2B3B" w:rsidRPr="0035695A" w:rsidRDefault="004F2B3B" w:rsidP="004F2B3B">
      <w:pPr>
        <w:widowControl w:val="0"/>
        <w:tabs>
          <w:tab w:val="left" w:pos="1100"/>
        </w:tabs>
        <w:jc w:val="both"/>
        <w:rPr>
          <w:rFonts w:ascii="Cambria" w:hAnsi="Cambria"/>
          <w:szCs w:val="22"/>
        </w:rPr>
      </w:pPr>
    </w:p>
    <w:p w:rsidR="004F2B3B" w:rsidRPr="0035695A" w:rsidRDefault="004F2B3B" w:rsidP="004F2B3B">
      <w:pPr>
        <w:pStyle w:val="Odstavecseseznamem"/>
        <w:widowControl w:val="0"/>
        <w:numPr>
          <w:ilvl w:val="0"/>
          <w:numId w:val="2"/>
        </w:numPr>
        <w:tabs>
          <w:tab w:val="left" w:pos="1134"/>
        </w:tabs>
        <w:jc w:val="both"/>
        <w:rPr>
          <w:szCs w:val="22"/>
        </w:rPr>
      </w:pPr>
      <w:r w:rsidRPr="0035695A">
        <w:rPr>
          <w:b/>
          <w:bCs/>
        </w:rPr>
        <w:t>Statutární město Jihlava,</w:t>
      </w:r>
      <w:r w:rsidRPr="0035695A">
        <w:t xml:space="preserve"> </w:t>
      </w:r>
      <w:r w:rsidRPr="0035695A">
        <w:rPr>
          <w:szCs w:val="22"/>
        </w:rPr>
        <w:t>se sídlem: Masarykovo nám. 97/1, 586 01 Jihlava, IČO: 00286010, zastoupena Ing. Vítem Zemanem, náměstkem primátorky</w:t>
      </w:r>
    </w:p>
    <w:p w:rsidR="004F2B3B" w:rsidRPr="00C201B3" w:rsidRDefault="004F2B3B" w:rsidP="004F2B3B">
      <w:pPr>
        <w:widowControl w:val="0"/>
        <w:jc w:val="both"/>
        <w:rPr>
          <w:rFonts w:ascii="Cambria" w:hAnsi="Cambria"/>
          <w:b/>
        </w:rPr>
      </w:pPr>
    </w:p>
    <w:p w:rsidR="004F2B3B" w:rsidRPr="0035695A" w:rsidRDefault="004F2B3B" w:rsidP="004F2B3B">
      <w:pPr>
        <w:widowControl w:val="0"/>
        <w:tabs>
          <w:tab w:val="left" w:pos="7624"/>
        </w:tabs>
        <w:ind w:left="1134" w:hanging="1134"/>
        <w:jc w:val="both"/>
        <w:rPr>
          <w:rFonts w:ascii="Cambria" w:hAnsi="Cambria"/>
          <w:color w:val="000000" w:themeColor="text1"/>
          <w:szCs w:val="22"/>
        </w:rPr>
      </w:pPr>
      <w:r w:rsidRPr="0035695A">
        <w:rPr>
          <w:rFonts w:ascii="Cambria" w:hAnsi="Cambria"/>
          <w:szCs w:val="22"/>
        </w:rPr>
        <w:tab/>
        <w:t>(dále také jako „</w:t>
      </w:r>
      <w:r w:rsidRPr="0035695A">
        <w:rPr>
          <w:rFonts w:ascii="Cambria" w:hAnsi="Cambria"/>
          <w:b/>
          <w:szCs w:val="22"/>
        </w:rPr>
        <w:t>Město</w:t>
      </w:r>
      <w:r w:rsidRPr="0035695A">
        <w:rPr>
          <w:rFonts w:ascii="Cambria" w:hAnsi="Cambria"/>
          <w:szCs w:val="22"/>
        </w:rPr>
        <w:t>“)</w:t>
      </w:r>
    </w:p>
    <w:p w:rsidR="004F2B3B" w:rsidRPr="0035695A" w:rsidRDefault="004F2B3B" w:rsidP="004F2B3B">
      <w:pPr>
        <w:widowControl w:val="0"/>
        <w:tabs>
          <w:tab w:val="left" w:pos="1100"/>
        </w:tabs>
        <w:ind w:left="1134" w:hanging="1134"/>
        <w:jc w:val="both"/>
        <w:rPr>
          <w:rFonts w:ascii="Cambria" w:hAnsi="Cambria"/>
          <w:color w:val="000000" w:themeColor="text1"/>
          <w:szCs w:val="22"/>
        </w:rPr>
      </w:pPr>
    </w:p>
    <w:p w:rsidR="004F2B3B" w:rsidRPr="0035695A" w:rsidRDefault="004F2B3B" w:rsidP="004F2B3B">
      <w:pPr>
        <w:widowControl w:val="0"/>
        <w:jc w:val="both"/>
        <w:rPr>
          <w:rFonts w:ascii="Cambria" w:hAnsi="Cambria"/>
          <w:color w:val="000000" w:themeColor="text1"/>
          <w:szCs w:val="22"/>
        </w:rPr>
      </w:pPr>
    </w:p>
    <w:p w:rsidR="004F2B3B" w:rsidRPr="0035695A" w:rsidRDefault="004F2B3B" w:rsidP="004F2B3B">
      <w:pPr>
        <w:widowControl w:val="0"/>
        <w:jc w:val="both"/>
        <w:rPr>
          <w:rFonts w:ascii="Cambria" w:hAnsi="Cambria"/>
          <w:color w:val="000000" w:themeColor="text1"/>
          <w:szCs w:val="22"/>
        </w:rPr>
      </w:pPr>
      <w:r w:rsidRPr="0035695A">
        <w:rPr>
          <w:rFonts w:ascii="Cambria" w:hAnsi="Cambria"/>
          <w:color w:val="000000" w:themeColor="text1"/>
          <w:szCs w:val="22"/>
        </w:rPr>
        <w:t>Investoři a Město, dále také společně jako „</w:t>
      </w:r>
      <w:r w:rsidRPr="0035695A">
        <w:rPr>
          <w:rFonts w:ascii="Cambria" w:hAnsi="Cambria"/>
          <w:b/>
          <w:color w:val="000000" w:themeColor="text1"/>
          <w:szCs w:val="22"/>
        </w:rPr>
        <w:t>Smluvní strany</w:t>
      </w:r>
      <w:r w:rsidRPr="0035695A">
        <w:rPr>
          <w:rFonts w:ascii="Cambria" w:hAnsi="Cambria"/>
          <w:color w:val="000000" w:themeColor="text1"/>
          <w:szCs w:val="22"/>
        </w:rPr>
        <w:t xml:space="preserve">“, </w:t>
      </w:r>
    </w:p>
    <w:p w:rsidR="004F2B3B" w:rsidRPr="0035695A" w:rsidRDefault="004F2B3B" w:rsidP="004F2B3B">
      <w:pPr>
        <w:widowControl w:val="0"/>
        <w:jc w:val="both"/>
        <w:rPr>
          <w:rFonts w:ascii="Cambria" w:hAnsi="Cambria"/>
          <w:color w:val="000000" w:themeColor="text1"/>
          <w:szCs w:val="22"/>
        </w:rPr>
      </w:pPr>
    </w:p>
    <w:p w:rsidR="004F2B3B" w:rsidRPr="0035695A" w:rsidRDefault="004F2B3B" w:rsidP="004F2B3B">
      <w:pPr>
        <w:widowControl w:val="0"/>
        <w:jc w:val="both"/>
        <w:rPr>
          <w:rFonts w:ascii="Cambria" w:hAnsi="Cambria"/>
          <w:color w:val="000000" w:themeColor="text1"/>
          <w:szCs w:val="22"/>
        </w:rPr>
      </w:pPr>
      <w:r w:rsidRPr="0035695A">
        <w:rPr>
          <w:rFonts w:ascii="Cambria" w:hAnsi="Cambria"/>
          <w:color w:val="000000" w:themeColor="text1"/>
          <w:szCs w:val="22"/>
        </w:rPr>
        <w:t>uzavírají spolu, v souladu s ustanovením § 1746 odst. 2 a násl. zákona č. 89/2012 Sb., občanský zákoník, ve znění pozdějších předpisů, tuto</w:t>
      </w:r>
    </w:p>
    <w:p w:rsidR="004F2B3B" w:rsidRPr="0035695A" w:rsidRDefault="004F2B3B" w:rsidP="004F2B3B">
      <w:pPr>
        <w:widowControl w:val="0"/>
        <w:jc w:val="both"/>
        <w:rPr>
          <w:rFonts w:ascii="Cambria" w:hAnsi="Cambria"/>
          <w:color w:val="000000" w:themeColor="text1"/>
          <w:szCs w:val="22"/>
        </w:rPr>
      </w:pPr>
    </w:p>
    <w:p w:rsidR="004F2B3B" w:rsidRPr="0035695A" w:rsidRDefault="004F2B3B" w:rsidP="004F2B3B">
      <w:pPr>
        <w:widowControl w:val="0"/>
        <w:jc w:val="center"/>
        <w:rPr>
          <w:rFonts w:ascii="Cambria" w:hAnsi="Cambria"/>
          <w:color w:val="000000" w:themeColor="text1"/>
          <w:szCs w:val="22"/>
        </w:rPr>
      </w:pPr>
      <w:r w:rsidRPr="0035695A">
        <w:rPr>
          <w:rFonts w:ascii="Cambria" w:hAnsi="Cambria"/>
          <w:color w:val="000000" w:themeColor="text1"/>
          <w:szCs w:val="22"/>
        </w:rPr>
        <w:t xml:space="preserve">Smlouvu o spolupráci </w:t>
      </w:r>
    </w:p>
    <w:p w:rsidR="004F2B3B" w:rsidRPr="0035695A" w:rsidRDefault="004F2B3B" w:rsidP="004F2B3B">
      <w:pPr>
        <w:widowControl w:val="0"/>
        <w:jc w:val="center"/>
        <w:rPr>
          <w:rFonts w:ascii="Cambria" w:hAnsi="Cambria"/>
          <w:color w:val="000000" w:themeColor="text1"/>
          <w:szCs w:val="22"/>
        </w:rPr>
      </w:pPr>
      <w:r w:rsidRPr="0035695A">
        <w:rPr>
          <w:rFonts w:ascii="Cambria" w:hAnsi="Cambria"/>
          <w:color w:val="000000" w:themeColor="text1"/>
          <w:szCs w:val="22"/>
        </w:rPr>
        <w:t xml:space="preserve">na realizaci protihlukových opatření v části statutárního města Jihlavy Horní Kosov </w:t>
      </w:r>
    </w:p>
    <w:p w:rsidR="004F2B3B" w:rsidRPr="0035695A" w:rsidRDefault="004F2B3B" w:rsidP="004F2B3B">
      <w:pPr>
        <w:widowControl w:val="0"/>
        <w:jc w:val="center"/>
        <w:rPr>
          <w:rFonts w:ascii="Cambria" w:hAnsi="Cambria"/>
          <w:color w:val="000000" w:themeColor="text1"/>
          <w:szCs w:val="22"/>
        </w:rPr>
      </w:pPr>
      <w:r w:rsidRPr="0035695A">
        <w:rPr>
          <w:rFonts w:ascii="Cambria" w:hAnsi="Cambria"/>
          <w:color w:val="000000" w:themeColor="text1"/>
          <w:szCs w:val="22"/>
        </w:rPr>
        <w:t>(dále jen „</w:t>
      </w:r>
      <w:r w:rsidRPr="00C201B3">
        <w:rPr>
          <w:rFonts w:ascii="Cambria" w:hAnsi="Cambria"/>
          <w:b/>
          <w:color w:val="000000" w:themeColor="text1"/>
        </w:rPr>
        <w:t>Smlouva</w:t>
      </w:r>
      <w:r w:rsidRPr="0035695A">
        <w:rPr>
          <w:rFonts w:ascii="Cambria" w:hAnsi="Cambria"/>
          <w:color w:val="000000" w:themeColor="text1"/>
          <w:szCs w:val="22"/>
        </w:rPr>
        <w:t>“):</w:t>
      </w:r>
    </w:p>
    <w:p w:rsidR="004F2B3B" w:rsidRPr="00C201B3" w:rsidRDefault="004F2B3B" w:rsidP="004F2B3B">
      <w:pPr>
        <w:rPr>
          <w:rFonts w:ascii="Cambria" w:hAnsi="Cambria"/>
        </w:rPr>
      </w:pPr>
    </w:p>
    <w:p w:rsidR="004F2B3B" w:rsidRPr="0035695A" w:rsidRDefault="004F2B3B" w:rsidP="004F2B3B">
      <w:pPr>
        <w:pStyle w:val="Odstavecseseznamem"/>
        <w:widowControl w:val="0"/>
        <w:tabs>
          <w:tab w:val="left" w:pos="1076"/>
          <w:tab w:val="left" w:pos="1134"/>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autoSpaceDE w:val="0"/>
        <w:autoSpaceDN w:val="0"/>
        <w:adjustRightInd w:val="0"/>
        <w:ind w:left="720"/>
        <w:jc w:val="both"/>
        <w:rPr>
          <w:b/>
          <w:szCs w:val="22"/>
        </w:rPr>
      </w:pPr>
    </w:p>
    <w:p w:rsidR="004F2B3B" w:rsidRPr="0035695A" w:rsidRDefault="004F2B3B" w:rsidP="004F2B3B">
      <w:pPr>
        <w:pStyle w:val="Nadpis1"/>
        <w:keepNext w:val="0"/>
        <w:widowControl w:val="0"/>
        <w:jc w:val="both"/>
        <w:rPr>
          <w:szCs w:val="22"/>
        </w:rPr>
      </w:pPr>
      <w:bookmarkStart w:id="0" w:name="_Toc409269580"/>
      <w:r w:rsidRPr="0035695A">
        <w:rPr>
          <w:szCs w:val="22"/>
        </w:rPr>
        <w:t>Preambule a účel Smlouvy</w:t>
      </w:r>
    </w:p>
    <w:bookmarkEnd w:id="0"/>
    <w:p w:rsidR="004F2B3B" w:rsidRPr="0035695A" w:rsidRDefault="004F2B3B" w:rsidP="004F2B3B">
      <w:pPr>
        <w:pStyle w:val="Nadpis2"/>
        <w:widowControl w:val="0"/>
        <w:rPr>
          <w:b/>
        </w:rPr>
      </w:pPr>
      <w:r w:rsidRPr="0035695A">
        <w:rPr>
          <w:bCs/>
        </w:rPr>
        <w:t>Každý z Investorů je obchodní korporací, jejímž hlavním předmětem činnosti je developerská činnost spočívající ve výstavbě komunikací a inženýrských sítí pro rodinné a</w:t>
      </w:r>
      <w:r>
        <w:rPr>
          <w:bCs/>
        </w:rPr>
        <w:t>/nebo</w:t>
      </w:r>
      <w:r w:rsidRPr="0035695A">
        <w:rPr>
          <w:bCs/>
        </w:rPr>
        <w:t xml:space="preserve"> bytové domy a ve výstavbě bytových a/nebo rodinných domů, a to v jihlavské části Horní Kosov.</w:t>
      </w:r>
    </w:p>
    <w:p w:rsidR="004F2B3B" w:rsidRPr="0035695A" w:rsidRDefault="004F2B3B" w:rsidP="004F2B3B">
      <w:pPr>
        <w:pStyle w:val="Nadpis2"/>
        <w:widowControl w:val="0"/>
        <w:rPr>
          <w:b/>
        </w:rPr>
      </w:pPr>
      <w:r w:rsidRPr="0035695A">
        <w:rPr>
          <w:bCs/>
        </w:rPr>
        <w:t>Investoři mají zájem realizovat v lokalitě Jihlava – Horní Kosov následující projekty:</w:t>
      </w:r>
    </w:p>
    <w:p w:rsidR="004F2B3B" w:rsidRPr="0035695A" w:rsidRDefault="004F2B3B" w:rsidP="004F2B3B">
      <w:pPr>
        <w:pStyle w:val="Nadpis2"/>
        <w:widowControl w:val="0"/>
        <w:numPr>
          <w:ilvl w:val="0"/>
          <w:numId w:val="0"/>
        </w:numPr>
        <w:ind w:left="1134"/>
        <w:contextualSpacing/>
        <w:rPr>
          <w:bCs/>
        </w:rPr>
      </w:pPr>
    </w:p>
    <w:p w:rsidR="004F2B3B" w:rsidRPr="0035695A" w:rsidRDefault="004F2B3B" w:rsidP="004F2B3B">
      <w:pPr>
        <w:pStyle w:val="Nadpis2"/>
        <w:widowControl w:val="0"/>
        <w:numPr>
          <w:ilvl w:val="0"/>
          <w:numId w:val="0"/>
        </w:numPr>
        <w:ind w:left="1134"/>
        <w:contextualSpacing/>
      </w:pPr>
      <w:r w:rsidRPr="0035695A">
        <w:rPr>
          <w:bCs/>
        </w:rPr>
        <w:t xml:space="preserve">Společnost NA FRANTIŠKU I, s.r.o. </w:t>
      </w:r>
      <w:r w:rsidRPr="0035695A">
        <w:t>(a její dceřiná společnost) projekt:</w:t>
      </w:r>
    </w:p>
    <w:p w:rsidR="004F2B3B" w:rsidRPr="0035695A" w:rsidRDefault="004F2B3B" w:rsidP="004F2B3B">
      <w:pPr>
        <w:widowControl w:val="0"/>
        <w:spacing w:before="240" w:after="60"/>
        <w:ind w:left="1134"/>
        <w:contextualSpacing/>
        <w:jc w:val="both"/>
        <w:outlineLvl w:val="1"/>
        <w:rPr>
          <w:rFonts w:ascii="Cambria" w:hAnsi="Cambria"/>
          <w:i/>
          <w:szCs w:val="22"/>
        </w:rPr>
      </w:pPr>
      <w:r w:rsidRPr="0035695A">
        <w:rPr>
          <w:rFonts w:ascii="Cambria" w:hAnsi="Cambria"/>
          <w:i/>
          <w:szCs w:val="22"/>
        </w:rPr>
        <w:t>Rezidence Na Františku - soubor 3 bytových domů (Na Františku I - I. etapa) – ve fázi DUR</w:t>
      </w:r>
    </w:p>
    <w:p w:rsidR="004F2B3B" w:rsidRPr="0035695A" w:rsidRDefault="004F2B3B" w:rsidP="004F2B3B">
      <w:pPr>
        <w:widowControl w:val="0"/>
        <w:spacing w:before="240" w:after="60"/>
        <w:ind w:left="1134"/>
        <w:contextualSpacing/>
        <w:jc w:val="both"/>
        <w:outlineLvl w:val="1"/>
        <w:rPr>
          <w:rFonts w:ascii="Cambria" w:hAnsi="Cambria"/>
          <w:i/>
          <w:szCs w:val="22"/>
        </w:rPr>
      </w:pPr>
    </w:p>
    <w:p w:rsidR="004F2B3B" w:rsidRPr="00C201B3" w:rsidRDefault="004F2B3B" w:rsidP="004F2B3B">
      <w:pPr>
        <w:widowControl w:val="0"/>
        <w:spacing w:before="240" w:after="60"/>
        <w:ind w:left="426" w:firstLine="708"/>
        <w:contextualSpacing/>
        <w:jc w:val="both"/>
        <w:outlineLvl w:val="1"/>
        <w:rPr>
          <w:rFonts w:ascii="Cambria" w:hAnsi="Cambria"/>
          <w:i/>
        </w:rPr>
      </w:pPr>
      <w:r w:rsidRPr="00C201B3">
        <w:rPr>
          <w:rFonts w:ascii="Cambria" w:hAnsi="Cambria"/>
          <w:i/>
        </w:rPr>
        <w:t>Inženýrské sítě a komunikace Na Františku I (Na Františku I – II. etapa) – ve fázi DUR</w:t>
      </w:r>
    </w:p>
    <w:p w:rsidR="004F2B3B" w:rsidRPr="00C201B3" w:rsidRDefault="004F2B3B" w:rsidP="004F2B3B">
      <w:pPr>
        <w:widowControl w:val="0"/>
        <w:spacing w:before="240" w:after="60"/>
        <w:ind w:left="426" w:firstLine="708"/>
        <w:contextualSpacing/>
        <w:jc w:val="both"/>
        <w:outlineLvl w:val="1"/>
        <w:rPr>
          <w:rFonts w:ascii="Cambria" w:hAnsi="Cambria"/>
        </w:rPr>
      </w:pPr>
    </w:p>
    <w:p w:rsidR="004F2B3B" w:rsidRPr="00C201B3" w:rsidRDefault="004F2B3B" w:rsidP="004F2B3B">
      <w:pPr>
        <w:widowControl w:val="0"/>
        <w:spacing w:before="240" w:after="60"/>
        <w:ind w:left="426" w:firstLine="708"/>
        <w:contextualSpacing/>
        <w:jc w:val="both"/>
        <w:outlineLvl w:val="1"/>
        <w:rPr>
          <w:rFonts w:ascii="Cambria" w:hAnsi="Cambria"/>
        </w:rPr>
      </w:pPr>
      <w:r w:rsidRPr="00C201B3">
        <w:rPr>
          <w:rFonts w:ascii="Cambria" w:hAnsi="Cambria"/>
        </w:rPr>
        <w:t>Společnost LANDWEALTH CZ s.r.o</w:t>
      </w:r>
      <w:r w:rsidRPr="0035695A">
        <w:rPr>
          <w:rFonts w:ascii="Cambria" w:hAnsi="Cambria"/>
          <w:bCs/>
        </w:rPr>
        <w:t>.</w:t>
      </w:r>
      <w:r w:rsidRPr="00C201B3">
        <w:rPr>
          <w:rFonts w:ascii="Cambria" w:hAnsi="Cambria"/>
        </w:rPr>
        <w:t xml:space="preserve"> (a její dceřiné společnosti) projekt:</w:t>
      </w:r>
    </w:p>
    <w:p w:rsidR="004F2B3B" w:rsidRPr="00C201B3" w:rsidRDefault="004F2B3B" w:rsidP="004F2B3B">
      <w:pPr>
        <w:widowControl w:val="0"/>
        <w:spacing w:before="240" w:after="60"/>
        <w:ind w:left="426" w:firstLine="708"/>
        <w:contextualSpacing/>
        <w:jc w:val="both"/>
        <w:outlineLvl w:val="1"/>
        <w:rPr>
          <w:rFonts w:ascii="Cambria" w:hAnsi="Cambria"/>
        </w:rPr>
      </w:pPr>
    </w:p>
    <w:p w:rsidR="004F2B3B" w:rsidRPr="0035695A" w:rsidRDefault="004F2B3B" w:rsidP="004F2B3B">
      <w:pPr>
        <w:widowControl w:val="0"/>
        <w:spacing w:before="240" w:after="60"/>
        <w:ind w:left="1134"/>
        <w:contextualSpacing/>
        <w:jc w:val="both"/>
        <w:outlineLvl w:val="1"/>
        <w:rPr>
          <w:rFonts w:ascii="Cambria" w:hAnsi="Cambria"/>
          <w:i/>
          <w:szCs w:val="22"/>
        </w:rPr>
      </w:pPr>
      <w:r w:rsidRPr="0035695A">
        <w:rPr>
          <w:rFonts w:ascii="Cambria" w:hAnsi="Cambria"/>
          <w:i/>
          <w:szCs w:val="22"/>
        </w:rPr>
        <w:t>Residence KASKÁDA – dva bytové domy V1 a V2 ve fázi Změna stavby před dokončením</w:t>
      </w:r>
    </w:p>
    <w:p w:rsidR="004F2B3B" w:rsidRPr="0035695A" w:rsidRDefault="004F2B3B" w:rsidP="004F2B3B">
      <w:pPr>
        <w:widowControl w:val="0"/>
        <w:spacing w:before="240" w:after="60"/>
        <w:ind w:left="1134"/>
        <w:contextualSpacing/>
        <w:jc w:val="both"/>
        <w:outlineLvl w:val="1"/>
        <w:rPr>
          <w:rFonts w:ascii="Cambria" w:hAnsi="Cambria"/>
          <w:i/>
          <w:szCs w:val="22"/>
        </w:rPr>
      </w:pPr>
    </w:p>
    <w:p w:rsidR="004F2B3B" w:rsidRPr="00C201B3" w:rsidRDefault="004F2B3B" w:rsidP="004F2B3B">
      <w:pPr>
        <w:widowControl w:val="0"/>
        <w:spacing w:before="240" w:after="60"/>
        <w:ind w:left="426" w:firstLine="708"/>
        <w:contextualSpacing/>
        <w:jc w:val="both"/>
        <w:outlineLvl w:val="1"/>
        <w:rPr>
          <w:rFonts w:ascii="Cambria" w:hAnsi="Cambria"/>
          <w:i/>
        </w:rPr>
      </w:pPr>
      <w:r w:rsidRPr="00C201B3">
        <w:rPr>
          <w:rFonts w:ascii="Cambria" w:hAnsi="Cambria"/>
          <w:i/>
        </w:rPr>
        <w:t>Inženýrské sítě a komunikace Residence KASKÁDA, etapa A-A – ve fázi DUR</w:t>
      </w:r>
    </w:p>
    <w:p w:rsidR="004F2B3B" w:rsidRPr="00C201B3" w:rsidRDefault="004F2B3B" w:rsidP="004F2B3B">
      <w:pPr>
        <w:widowControl w:val="0"/>
        <w:spacing w:before="240" w:after="60"/>
        <w:ind w:left="426" w:firstLine="708"/>
        <w:contextualSpacing/>
        <w:jc w:val="both"/>
        <w:outlineLvl w:val="1"/>
        <w:rPr>
          <w:rFonts w:ascii="Cambria" w:hAnsi="Cambria"/>
        </w:rPr>
      </w:pPr>
    </w:p>
    <w:p w:rsidR="004F2B3B" w:rsidRPr="00C201B3" w:rsidRDefault="004F2B3B" w:rsidP="004F2B3B">
      <w:pPr>
        <w:widowControl w:val="0"/>
        <w:spacing w:before="240" w:after="60"/>
        <w:ind w:left="426" w:firstLine="708"/>
        <w:contextualSpacing/>
        <w:jc w:val="both"/>
        <w:outlineLvl w:val="1"/>
        <w:rPr>
          <w:rFonts w:ascii="Cambria" w:hAnsi="Cambria"/>
        </w:rPr>
      </w:pPr>
      <w:r w:rsidRPr="00C201B3">
        <w:rPr>
          <w:rFonts w:ascii="Cambria" w:hAnsi="Cambria"/>
        </w:rPr>
        <w:t>Společnost SLD Jihlava s.r.o</w:t>
      </w:r>
      <w:r w:rsidRPr="0035695A">
        <w:rPr>
          <w:rFonts w:ascii="Cambria" w:hAnsi="Cambria"/>
          <w:szCs w:val="22"/>
        </w:rPr>
        <w:t>.</w:t>
      </w:r>
      <w:r w:rsidRPr="00C201B3">
        <w:rPr>
          <w:rFonts w:ascii="Cambria" w:hAnsi="Cambria"/>
        </w:rPr>
        <w:t xml:space="preserve"> projekt:</w:t>
      </w:r>
    </w:p>
    <w:p w:rsidR="004F2B3B" w:rsidRPr="00C201B3" w:rsidRDefault="004F2B3B" w:rsidP="004F2B3B">
      <w:pPr>
        <w:widowControl w:val="0"/>
        <w:spacing w:before="240" w:after="60"/>
        <w:ind w:left="426" w:firstLine="708"/>
        <w:contextualSpacing/>
        <w:jc w:val="both"/>
        <w:outlineLvl w:val="1"/>
        <w:rPr>
          <w:rFonts w:ascii="Cambria" w:hAnsi="Cambria"/>
        </w:rPr>
      </w:pPr>
    </w:p>
    <w:p w:rsidR="004F2B3B" w:rsidRPr="00C201B3" w:rsidRDefault="004F2B3B" w:rsidP="004F2B3B">
      <w:pPr>
        <w:widowControl w:val="0"/>
        <w:spacing w:before="240" w:after="60"/>
        <w:ind w:left="426" w:firstLine="708"/>
        <w:contextualSpacing/>
        <w:jc w:val="both"/>
        <w:outlineLvl w:val="1"/>
        <w:rPr>
          <w:rFonts w:ascii="Cambria" w:hAnsi="Cambria"/>
          <w:i/>
        </w:rPr>
      </w:pPr>
      <w:r w:rsidRPr="00C201B3">
        <w:rPr>
          <w:rFonts w:ascii="Cambria" w:hAnsi="Cambria"/>
          <w:i/>
        </w:rPr>
        <w:t>Bytové domy Na Františku II – ve fázi změny stavby před dokončením.</w:t>
      </w:r>
    </w:p>
    <w:p w:rsidR="004F2B3B" w:rsidRPr="0035695A" w:rsidRDefault="004F2B3B" w:rsidP="004F2B3B">
      <w:pPr>
        <w:widowControl w:val="0"/>
        <w:spacing w:before="240" w:after="60"/>
        <w:ind w:left="426" w:firstLine="708"/>
        <w:contextualSpacing/>
        <w:jc w:val="both"/>
        <w:outlineLvl w:val="1"/>
        <w:rPr>
          <w:rFonts w:ascii="Cambria" w:hAnsi="Cambria"/>
          <w:szCs w:val="22"/>
        </w:rPr>
      </w:pPr>
    </w:p>
    <w:p w:rsidR="004F2B3B" w:rsidRPr="0035695A" w:rsidRDefault="004F2B3B" w:rsidP="004F2B3B">
      <w:pPr>
        <w:pStyle w:val="Nadpis2"/>
        <w:widowControl w:val="0"/>
        <w:rPr>
          <w:b/>
        </w:rPr>
      </w:pPr>
      <w:r>
        <w:rPr>
          <w:bCs/>
        </w:rPr>
        <w:t>Město</w:t>
      </w:r>
      <w:r w:rsidRPr="0035695A">
        <w:rPr>
          <w:bCs/>
        </w:rPr>
        <w:t xml:space="preserve"> je krajským městem, které má zájem na svém územním rozvoji ve spolupráci s developery – Investory.</w:t>
      </w:r>
    </w:p>
    <w:p w:rsidR="004F2B3B" w:rsidRPr="0035695A" w:rsidRDefault="004F2B3B" w:rsidP="004F2B3B">
      <w:pPr>
        <w:pStyle w:val="Nadpis2"/>
        <w:widowControl w:val="0"/>
        <w:rPr>
          <w:b/>
        </w:rPr>
      </w:pPr>
      <w:r w:rsidRPr="0035695A">
        <w:rPr>
          <w:bCs/>
        </w:rPr>
        <w:t xml:space="preserve">S ohledem na skutečnost, že v zájmovém území jsou v důsledku předchozího </w:t>
      </w:r>
      <w:r w:rsidRPr="003C6A08">
        <w:rPr>
          <w:bCs/>
        </w:rPr>
        <w:t xml:space="preserve">územního rozvoje statutárního města Jihlavy již nyní dosahovány limitní a nadlimitní hodnoty hluku v chráněných venkovních prostorech staveb přilehlých k Pozemní komunikaci na ulici S. K. Neumanna (definice viz níže) a </w:t>
      </w:r>
      <w:r w:rsidR="00370BA0" w:rsidRPr="003C6A08">
        <w:rPr>
          <w:bCs/>
        </w:rPr>
        <w:t>v chráněných venkovních prostorech staveb přilehlých k</w:t>
      </w:r>
      <w:r w:rsidRPr="003C6A08">
        <w:rPr>
          <w:bCs/>
        </w:rPr>
        <w:t> Pozemní komunikaci na ulici Vrchlického (definice viz níže) a realizací další plánované výstavby (včetně realizace Projektů – definice viz níže</w:t>
      </w:r>
      <w:r w:rsidRPr="0035695A">
        <w:rPr>
          <w:bCs/>
        </w:rPr>
        <w:t xml:space="preserve">) lze očekávat další navýšení hluku, dohodli se Investoři a Město na vzájemné spolupráci směřující k realizaci Protihlukových opatření (definice viz níže). </w:t>
      </w:r>
    </w:p>
    <w:p w:rsidR="004F2B3B" w:rsidRPr="0035695A" w:rsidRDefault="004F2B3B" w:rsidP="004F2B3B">
      <w:pPr>
        <w:pStyle w:val="Nadpis2"/>
        <w:widowControl w:val="0"/>
        <w:rPr>
          <w:b/>
        </w:rPr>
      </w:pPr>
      <w:r w:rsidRPr="0035695A">
        <w:rPr>
          <w:bCs/>
        </w:rPr>
        <w:t xml:space="preserve">Hlavním účelem této Smlouvy je realizace Protihlukových opatření (definice viz níže) za vzájemné spolupráce Investorů a Města. </w:t>
      </w:r>
    </w:p>
    <w:p w:rsidR="004F2B3B" w:rsidRPr="00C201B3" w:rsidRDefault="004F2B3B" w:rsidP="004F2B3B">
      <w:pPr>
        <w:widowControl w:val="0"/>
        <w:jc w:val="both"/>
        <w:rPr>
          <w:rFonts w:ascii="Cambria" w:hAnsi="Cambria"/>
        </w:rPr>
      </w:pPr>
    </w:p>
    <w:p w:rsidR="004F2B3B" w:rsidRPr="0035695A" w:rsidRDefault="004F2B3B" w:rsidP="004F2B3B">
      <w:pPr>
        <w:pStyle w:val="Nadpis1"/>
        <w:keepNext w:val="0"/>
        <w:widowControl w:val="0"/>
        <w:jc w:val="both"/>
        <w:rPr>
          <w:szCs w:val="22"/>
        </w:rPr>
      </w:pPr>
      <w:bookmarkStart w:id="1" w:name="_Toc485714007"/>
      <w:bookmarkStart w:id="2" w:name="_Toc485718402"/>
      <w:bookmarkStart w:id="3" w:name="_Toc413236283"/>
      <w:bookmarkStart w:id="4" w:name="_Toc475964048"/>
      <w:bookmarkStart w:id="5" w:name="_Toc245799467"/>
      <w:bookmarkStart w:id="6" w:name="_Toc390790350"/>
      <w:bookmarkStart w:id="7" w:name="_Toc398295230"/>
      <w:bookmarkStart w:id="8" w:name="_Toc413236286"/>
      <w:bookmarkStart w:id="9" w:name="_Toc475964053"/>
      <w:bookmarkStart w:id="10" w:name="_Toc225664020"/>
      <w:bookmarkStart w:id="11" w:name="_Toc228158151"/>
      <w:bookmarkStart w:id="12" w:name="_Toc259203914"/>
      <w:bookmarkStart w:id="13" w:name="_Toc260143244"/>
      <w:bookmarkStart w:id="14" w:name="_Toc358192965"/>
      <w:bookmarkStart w:id="15" w:name="_Toc380154233"/>
      <w:bookmarkStart w:id="16" w:name="_Toc450250614"/>
      <w:bookmarkStart w:id="17" w:name="_Toc224465264"/>
      <w:bookmarkStart w:id="18" w:name="_Toc226449856"/>
      <w:bookmarkStart w:id="19" w:name="_Toc242713027"/>
      <w:bookmarkStart w:id="20" w:name="_Ref413259077"/>
      <w:bookmarkEnd w:id="1"/>
      <w:bookmarkEnd w:id="2"/>
      <w:r w:rsidRPr="0035695A">
        <w:rPr>
          <w:szCs w:val="22"/>
        </w:rPr>
        <w:t xml:space="preserve">Definice </w:t>
      </w:r>
    </w:p>
    <w:p w:rsidR="004F2B3B" w:rsidRPr="0035695A" w:rsidRDefault="004F2B3B" w:rsidP="004F2B3B">
      <w:pPr>
        <w:pStyle w:val="Nadpis2"/>
        <w:widowControl w:val="0"/>
        <w:rPr>
          <w:b/>
          <w:bCs/>
        </w:rPr>
      </w:pPr>
      <w:bookmarkStart w:id="21" w:name="_Toc413236284"/>
      <w:bookmarkStart w:id="22" w:name="_Toc413397504"/>
      <w:bookmarkStart w:id="23" w:name="_Toc475964049"/>
      <w:bookmarkEnd w:id="3"/>
      <w:bookmarkEnd w:id="4"/>
      <w:r w:rsidRPr="0035695A">
        <w:rPr>
          <w:b/>
          <w:bCs/>
        </w:rPr>
        <w:t>Význam užitých definicí</w:t>
      </w:r>
    </w:p>
    <w:p w:rsidR="004F2B3B" w:rsidRPr="0035695A" w:rsidRDefault="004F2B3B" w:rsidP="004F2B3B">
      <w:pPr>
        <w:pStyle w:val="Nadpis2"/>
        <w:widowControl w:val="0"/>
        <w:numPr>
          <w:ilvl w:val="0"/>
          <w:numId w:val="0"/>
        </w:numPr>
        <w:ind w:left="1134"/>
      </w:pPr>
      <w:r w:rsidRPr="0035695A">
        <w:t>„</w:t>
      </w:r>
      <w:r w:rsidRPr="0035695A">
        <w:rPr>
          <w:b/>
          <w:bCs/>
        </w:rPr>
        <w:t>Finanční příspěvek</w:t>
      </w:r>
      <w:r w:rsidRPr="0035695A">
        <w:t>“ má pro účely této Smlouvy význam uvedený v odst. 3.1 této Smlouvy.</w:t>
      </w:r>
    </w:p>
    <w:p w:rsidR="004F2B3B" w:rsidRPr="0035695A" w:rsidRDefault="004F2B3B" w:rsidP="004F2B3B">
      <w:pPr>
        <w:pStyle w:val="Nadpis2"/>
        <w:widowControl w:val="0"/>
        <w:numPr>
          <w:ilvl w:val="0"/>
          <w:numId w:val="0"/>
        </w:numPr>
        <w:ind w:left="1134"/>
      </w:pPr>
      <w:r w:rsidRPr="0035695A">
        <w:t>„</w:t>
      </w:r>
      <w:r w:rsidRPr="0035695A">
        <w:rPr>
          <w:b/>
          <w:bCs/>
        </w:rPr>
        <w:t>Nařízením vlády</w:t>
      </w:r>
      <w:r w:rsidRPr="0035695A">
        <w:t>“ se pro účely této Smlouvy rozumí nařízení vlády č. 272/2011 Sb., o ochraně zdraví před nepříznivými účinky hluku a vibrací ve znění pozdějších předpisů, či jiný právní předpis, kterým by bylo Nařízení vlády nahrazeno či doplněno.</w:t>
      </w:r>
    </w:p>
    <w:p w:rsidR="004F2B3B" w:rsidRPr="0035695A" w:rsidRDefault="004F2B3B" w:rsidP="004F2B3B">
      <w:pPr>
        <w:pStyle w:val="Nadpis2"/>
        <w:widowControl w:val="0"/>
        <w:numPr>
          <w:ilvl w:val="0"/>
          <w:numId w:val="0"/>
        </w:numPr>
        <w:ind w:left="1134"/>
      </w:pPr>
      <w:r w:rsidRPr="0035695A">
        <w:t>„</w:t>
      </w:r>
      <w:r w:rsidRPr="0035695A">
        <w:rPr>
          <w:b/>
          <w:bCs/>
        </w:rPr>
        <w:t>OZ</w:t>
      </w:r>
      <w:r w:rsidRPr="0035695A">
        <w:t>“ se pro účely této Smlouvy rozumí zákon č. 89/2012 Sb., občanský zákoník ve znění pozdějších předpisů.</w:t>
      </w:r>
    </w:p>
    <w:p w:rsidR="004F2B3B" w:rsidRPr="0035695A" w:rsidRDefault="004F2B3B" w:rsidP="004F2B3B">
      <w:pPr>
        <w:pStyle w:val="Nadpis2"/>
        <w:widowControl w:val="0"/>
        <w:numPr>
          <w:ilvl w:val="0"/>
          <w:numId w:val="0"/>
        </w:numPr>
        <w:ind w:left="1134"/>
      </w:pPr>
      <w:r w:rsidRPr="0035695A">
        <w:t>„</w:t>
      </w:r>
      <w:r w:rsidRPr="0035695A">
        <w:rPr>
          <w:b/>
          <w:bCs/>
        </w:rPr>
        <w:t>Pozemní komunikací na ulici S. K. Neumanna</w:t>
      </w:r>
      <w:r w:rsidRPr="0035695A">
        <w:t>“ se pro účely této Smlouvy rozumí pozemní komunikace na ulici S. K. Neumanna v Jihlavě v úseku od „Sluneční vrch“, tj. od zaústění ulice Buková po točnu MHD (vč. křižovatky Buková x S. K. Neumanna).</w:t>
      </w:r>
    </w:p>
    <w:p w:rsidR="004F2B3B" w:rsidRPr="0035695A" w:rsidRDefault="004F2B3B" w:rsidP="004F2B3B">
      <w:pPr>
        <w:pStyle w:val="Nadpis2"/>
        <w:widowControl w:val="0"/>
        <w:numPr>
          <w:ilvl w:val="0"/>
          <w:numId w:val="0"/>
        </w:numPr>
        <w:ind w:left="1134"/>
      </w:pPr>
      <w:r w:rsidRPr="0035695A">
        <w:lastRenderedPageBreak/>
        <w:t>„</w:t>
      </w:r>
      <w:r w:rsidRPr="0035695A">
        <w:rPr>
          <w:b/>
          <w:bCs/>
        </w:rPr>
        <w:t>Pozemní komunikací na ulici Vrchlického</w:t>
      </w:r>
      <w:r w:rsidRPr="0035695A">
        <w:t xml:space="preserve">“ se pro účely této Smlouvy rozumí pozemní komunikace na ulici Vrchlického v Jihlavě v úseku od sjezdu k „Trianglu“ po napojení na S. K. Neumanna. </w:t>
      </w:r>
    </w:p>
    <w:p w:rsidR="004F2B3B" w:rsidRPr="0035695A" w:rsidRDefault="004F2B3B" w:rsidP="004F2B3B">
      <w:pPr>
        <w:pStyle w:val="Nadpis2"/>
        <w:widowControl w:val="0"/>
        <w:numPr>
          <w:ilvl w:val="0"/>
          <w:numId w:val="0"/>
        </w:numPr>
        <w:ind w:left="1134"/>
      </w:pPr>
      <w:r w:rsidRPr="0035695A">
        <w:t>„</w:t>
      </w:r>
      <w:r w:rsidRPr="0035695A">
        <w:rPr>
          <w:b/>
          <w:bCs/>
        </w:rPr>
        <w:t>Projekty</w:t>
      </w:r>
      <w:r w:rsidRPr="0035695A">
        <w:t>“ se pro účely této Smlouvy rozumí projekty Investorů uvedené v odst. 1.2 této Smlouvy.</w:t>
      </w:r>
    </w:p>
    <w:p w:rsidR="004F2B3B" w:rsidRPr="0035695A" w:rsidRDefault="004F2B3B" w:rsidP="004F2B3B">
      <w:pPr>
        <w:pStyle w:val="Nadpis2"/>
        <w:widowControl w:val="0"/>
        <w:numPr>
          <w:ilvl w:val="0"/>
          <w:numId w:val="0"/>
        </w:numPr>
        <w:ind w:left="1134"/>
      </w:pPr>
      <w:r w:rsidRPr="0035695A">
        <w:t>„</w:t>
      </w:r>
      <w:r w:rsidRPr="0035695A">
        <w:rPr>
          <w:b/>
          <w:bCs/>
        </w:rPr>
        <w:t>Protihlukovými opatřeními</w:t>
      </w:r>
      <w:r w:rsidRPr="0035695A">
        <w:t xml:space="preserve">“ se pro účely této Smlouvy rozumí v budoucnu taková realizovaná </w:t>
      </w:r>
      <w:r w:rsidRPr="003C6A08">
        <w:t xml:space="preserve">protihluková opatření, kdy výsledkem jejich realizace bude stav, že po 30. 6. 2023 budou splněny hygienické limity hluku v chráněných venkovních </w:t>
      </w:r>
      <w:r w:rsidRPr="0035695A">
        <w:t xml:space="preserve">prostorech staveb přilehlých k Pozemní komunikaci na ulici S. K. Neumanna a k Pozemní komunikaci na ulici Vrchlického v souladu s Nařízením vlády, a to při zohlednění Projektů a další plánované výstavby v zájmové lokalitě, jakož i v dalších lokalitách Statutárního města Jihlavy mající vliv na navyšování dopravy na Pozemní komunikaci na ulici S. K. Neumanna a na Pozemní komunikaci na ulici Vrchlického. </w:t>
      </w:r>
    </w:p>
    <w:p w:rsidR="004F2B3B" w:rsidRPr="0035695A" w:rsidRDefault="004F2B3B" w:rsidP="004F2B3B">
      <w:pPr>
        <w:pStyle w:val="Nadpis2"/>
        <w:widowControl w:val="0"/>
        <w:numPr>
          <w:ilvl w:val="0"/>
          <w:numId w:val="0"/>
        </w:numPr>
        <w:ind w:left="1134"/>
      </w:pPr>
      <w:r w:rsidRPr="0035695A">
        <w:t>Protihlukovými opatřeními dle této Smlouvy je:</w:t>
      </w:r>
    </w:p>
    <w:p w:rsidR="004F2B3B" w:rsidRPr="003C6A08" w:rsidRDefault="004F2B3B" w:rsidP="004F2B3B">
      <w:pPr>
        <w:pStyle w:val="Nadpis2"/>
        <w:widowControl w:val="0"/>
        <w:numPr>
          <w:ilvl w:val="0"/>
          <w:numId w:val="3"/>
        </w:numPr>
      </w:pPr>
      <w:r w:rsidRPr="003C6A08">
        <w:t>výměna stávající obrusné vrstvy za obrusnou vrstvu - nízkohlučný asfaltový povrch na Pozemní komunikaci na ulici S. K. Neumanna a na Pozemní komunikaci na ulici Vrchlického nebo</w:t>
      </w:r>
    </w:p>
    <w:p w:rsidR="004F2B3B" w:rsidRPr="003C6A08" w:rsidRDefault="004F2B3B" w:rsidP="004F2B3B">
      <w:pPr>
        <w:pStyle w:val="Nadpis2"/>
        <w:widowControl w:val="0"/>
        <w:numPr>
          <w:ilvl w:val="0"/>
          <w:numId w:val="3"/>
        </w:numPr>
      </w:pPr>
      <w:r w:rsidRPr="003C6A08">
        <w:t>jednorázová opatření na fasádách dotčených bytových domů přilehlých k Pozemní komunikaci na ulici S. K. Neumanna a k Pozemní komunikaci na ulici Vrchlického (výměna oken a doplnění nuceného větrání u exponovaných fasád domů).</w:t>
      </w:r>
    </w:p>
    <w:p w:rsidR="004F2B3B" w:rsidRPr="0035695A" w:rsidRDefault="004F2B3B" w:rsidP="004F2B3B">
      <w:pPr>
        <w:pStyle w:val="Nadpis2"/>
        <w:widowControl w:val="0"/>
        <w:numPr>
          <w:ilvl w:val="0"/>
          <w:numId w:val="0"/>
        </w:numPr>
        <w:ind w:left="1134"/>
      </w:pPr>
      <w:r w:rsidRPr="0035695A">
        <w:t>„</w:t>
      </w:r>
      <w:r w:rsidRPr="0035695A">
        <w:rPr>
          <w:b/>
          <w:bCs/>
        </w:rPr>
        <w:t>Výzva</w:t>
      </w:r>
      <w:r w:rsidRPr="0035695A">
        <w:t>“ má pro účely této Smlouvy význam uvedený v odst. 3.1 této Smlouvy.</w:t>
      </w:r>
    </w:p>
    <w:p w:rsidR="004F2B3B" w:rsidRPr="0035695A" w:rsidRDefault="004F2B3B" w:rsidP="004F2B3B">
      <w:pPr>
        <w:pStyle w:val="Nadpis2"/>
        <w:widowControl w:val="0"/>
        <w:numPr>
          <w:ilvl w:val="0"/>
          <w:numId w:val="0"/>
        </w:numPr>
        <w:ind w:left="1134"/>
      </w:pPr>
      <w:r w:rsidRPr="0035695A">
        <w:t>„</w:t>
      </w:r>
      <w:r w:rsidRPr="0035695A">
        <w:rPr>
          <w:b/>
          <w:bCs/>
        </w:rPr>
        <w:t xml:space="preserve">Změnou </w:t>
      </w:r>
      <w:r>
        <w:rPr>
          <w:b/>
          <w:bCs/>
        </w:rPr>
        <w:t>limitů hluku</w:t>
      </w:r>
      <w:r w:rsidRPr="0035695A">
        <w:t xml:space="preserve">“ se pro účely této Smlouvy rozumí změna hygienických limitů hluku v Nařízení vlády ve formě zmírnění (v podobě navýšení dB) hygienických limitů hluku v chráněných venkovních prostorech staveb přilehlých k Pozemní komunikaci na ulici S. K. Neumanna a k Pozemní komunikaci na ulici Vrchlického o 3 dB a více. Za Změnu hlukových limitů se nepovažuje skutečnost, že dojde k takové změně Nařízení vlády, která umožňuje překročení </w:t>
      </w:r>
      <w:r>
        <w:t>hygienických limitů hluku</w:t>
      </w:r>
      <w:r w:rsidRPr="0035695A">
        <w:t xml:space="preserve"> pouze na základě správního uvážení příslušného správního orgánu. </w:t>
      </w:r>
    </w:p>
    <w:p w:rsidR="004F2B3B" w:rsidRPr="0035695A" w:rsidRDefault="004F2B3B" w:rsidP="004F2B3B">
      <w:pPr>
        <w:pStyle w:val="Nadpis1"/>
      </w:pPr>
      <w:r w:rsidRPr="0035695A">
        <w:t>Předmět Smlouvy</w:t>
      </w:r>
    </w:p>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rsidR="004F2B3B" w:rsidRPr="003C6A08" w:rsidRDefault="004F2B3B" w:rsidP="004F2B3B">
      <w:pPr>
        <w:pStyle w:val="Nadpis2"/>
      </w:pPr>
      <w:r w:rsidRPr="003C6A08">
        <w:t>Investoři se zavazují poskytnout Městu</w:t>
      </w:r>
      <w:r w:rsidR="00914214" w:rsidRPr="003C6A08">
        <w:t xml:space="preserve"> rovným dílem</w:t>
      </w:r>
      <w:r w:rsidRPr="003C6A08">
        <w:t xml:space="preserve"> finanční příspěvek ve výši předpokládaných nákladů Města na realizaci Protihluko</w:t>
      </w:r>
      <w:r w:rsidR="00914214" w:rsidRPr="003C6A08">
        <w:t>vých opatření, maximálně však v souhrnné</w:t>
      </w:r>
      <w:r w:rsidRPr="003C6A08">
        <w:t xml:space="preserve"> výši </w:t>
      </w:r>
      <w:r w:rsidRPr="003C6A08">
        <w:rPr>
          <w:b/>
        </w:rPr>
        <w:t>3</w:t>
      </w:r>
      <w:r w:rsidRPr="003C6A08">
        <w:rPr>
          <w:b/>
          <w:bCs/>
        </w:rPr>
        <w:t>.000.000,-Kč</w:t>
      </w:r>
      <w:r w:rsidRPr="003C6A08">
        <w:t xml:space="preserve"> (slovy: tři miliony korun českých), (dále jen „</w:t>
      </w:r>
      <w:r w:rsidRPr="003C6A08">
        <w:rPr>
          <w:b/>
          <w:bCs/>
        </w:rPr>
        <w:t>Finanční příspěvek</w:t>
      </w:r>
      <w:r w:rsidRPr="003C6A08">
        <w:t>“), a to do 30 kalendářních dní od písemné Výzvy Města, jejíž součástí bude konkrétní specifikace Protihlukových opatření s rozpočtem předpokládaných nákladů na jejich realizaci (dále jen „</w:t>
      </w:r>
      <w:r w:rsidRPr="003C6A08">
        <w:rPr>
          <w:b/>
          <w:bCs/>
        </w:rPr>
        <w:t>Výzva</w:t>
      </w:r>
      <w:r w:rsidRPr="003C6A08">
        <w:t xml:space="preserve">“) </w:t>
      </w:r>
      <w:r w:rsidRPr="003C6A08">
        <w:rPr>
          <w:b/>
        </w:rPr>
        <w:t>na bankovní účet č. ú. 1466072369/0800 vedený u České spořitelny a. s., variabilním symbolem bude IČO daného Investora</w:t>
      </w:r>
      <w:r w:rsidRPr="003C6A08">
        <w:t xml:space="preserve">. </w:t>
      </w:r>
    </w:p>
    <w:p w:rsidR="004F2B3B" w:rsidRPr="003C6A08" w:rsidRDefault="004F2B3B" w:rsidP="004F2B3B">
      <w:pPr>
        <w:pStyle w:val="Nadpis2"/>
        <w:numPr>
          <w:ilvl w:val="0"/>
          <w:numId w:val="0"/>
        </w:numPr>
        <w:ind w:left="1134"/>
      </w:pPr>
      <w:r w:rsidRPr="003C6A08">
        <w:t xml:space="preserve">Závazek Investorů poskytnout Finanční příspěvek je samostatným závazkem každého Investora k poskytnutí Finančního příspěvku v rozsahu 1/3, tj. v částce do maximální výše 1.000.000,-Kč (slovy: jeden milion korun českých), nejedná se tedy o solidární závazek Investorů. </w:t>
      </w:r>
    </w:p>
    <w:p w:rsidR="004F2B3B" w:rsidRPr="003C6A08" w:rsidRDefault="004F2B3B" w:rsidP="004F2B3B">
      <w:pPr>
        <w:pStyle w:val="Nadpis2"/>
      </w:pPr>
      <w:r w:rsidRPr="003C6A08">
        <w:lastRenderedPageBreak/>
        <w:t>Město se zavazuje, že zrealizuje Protihluková opatření nejpozději do 30. 06. 2023, pokud do 31. 12. 2022 nevejde v platnost změna Nařízení vlády, na jejímž základě dojde ke Změně limitů hluku.</w:t>
      </w:r>
    </w:p>
    <w:p w:rsidR="004F2B3B" w:rsidRPr="0035695A" w:rsidRDefault="004F2B3B" w:rsidP="004F2B3B">
      <w:pPr>
        <w:pStyle w:val="Nadpis2"/>
      </w:pPr>
      <w:r w:rsidRPr="0035695A">
        <w:t>Město se zavazuje, že ze svého rozpočtu uhradí zbylou část nákladů na realizaci protihlukových opatření dle této Smlouvy.</w:t>
      </w:r>
    </w:p>
    <w:p w:rsidR="004F2B3B" w:rsidRPr="0035695A" w:rsidRDefault="004F2B3B" w:rsidP="004F2B3B">
      <w:pPr>
        <w:pStyle w:val="Nadpis1"/>
        <w:keepNext w:val="0"/>
        <w:widowControl w:val="0"/>
        <w:rPr>
          <w:color w:val="000000" w:themeColor="text1"/>
          <w:szCs w:val="22"/>
        </w:rPr>
      </w:pPr>
      <w:r w:rsidRPr="0035695A">
        <w:rPr>
          <w:color w:val="000000" w:themeColor="text1"/>
          <w:szCs w:val="22"/>
        </w:rPr>
        <w:t>Práva a povinnosti Smluvních stran</w:t>
      </w:r>
    </w:p>
    <w:p w:rsidR="00A42F4C" w:rsidRPr="003C6A08" w:rsidRDefault="00A42F4C" w:rsidP="00A42F4C">
      <w:pPr>
        <w:pStyle w:val="Nadpis2"/>
      </w:pPr>
      <w:r w:rsidRPr="0035695A">
        <w:t xml:space="preserve">Město je oprávněno realizovat Protihluková opatření dle vlastní volby tak, aby byl naplněn účel této </w:t>
      </w:r>
      <w:r w:rsidRPr="003C6A08">
        <w:t xml:space="preserve">Smlouvy. </w:t>
      </w:r>
      <w:r>
        <w:t xml:space="preserve">Město dále navrhne místní úpravu silničního provozu, aby byla na Pozemní komunikaci na ulici S. K. Neumanna a na Pozemní komunikaci na ulici Vrchlického omezena rychlost na 40 km/h </w:t>
      </w:r>
      <w:r w:rsidRPr="00C55843">
        <w:t>ve smyslu ustanovení § 61 odst. 2 zákona č. 361/2000 Sb., o provozu na pozemních komunikacích a o změnách některých zákonů ve znění pozdějších předpisů.</w:t>
      </w:r>
    </w:p>
    <w:p w:rsidR="004F2B3B" w:rsidRPr="0035695A" w:rsidRDefault="004F2B3B" w:rsidP="004F2B3B">
      <w:pPr>
        <w:pStyle w:val="Nadpis2"/>
      </w:pPr>
      <w:bookmarkStart w:id="24" w:name="_GoBack"/>
      <w:bookmarkEnd w:id="24"/>
      <w:r w:rsidRPr="003C6A08">
        <w:t xml:space="preserve">Město se zavazuje postupovat s péčí řádného hospodáře, a to zejména při </w:t>
      </w:r>
      <w:r w:rsidRPr="0035695A">
        <w:t xml:space="preserve">volbě dodavatele Protihlukových opatření a při vynaložení nákladů na jejich realizaci. </w:t>
      </w:r>
    </w:p>
    <w:p w:rsidR="004F2B3B" w:rsidRPr="0035695A" w:rsidRDefault="004F2B3B" w:rsidP="004F2B3B">
      <w:pPr>
        <w:pStyle w:val="Nadpis2"/>
      </w:pPr>
      <w:r w:rsidRPr="0035695A">
        <w:t xml:space="preserve">Město se zavazuje pravidelně k písemné výzvě Investorů v podrobnostech Investory informovat o postupu při realizaci Protihlukových opatření. Investoři jsou oprávněni nahlížet do podkladů Města souvisejících s realizací Protihlukových opatření. </w:t>
      </w:r>
    </w:p>
    <w:p w:rsidR="004F2B3B" w:rsidRPr="0035695A" w:rsidRDefault="004F2B3B" w:rsidP="004F2B3B">
      <w:pPr>
        <w:pStyle w:val="Nadpis2"/>
      </w:pPr>
      <w:r w:rsidRPr="0035695A">
        <w:t xml:space="preserve">Investoři nebudou v prodlení se splněním závazku poskytnout Městu Finanční příspěvek dle odst. 3.1 této Smlouvy, bude-li zcela zřejmé, že realizace ve Výzvě navržených Protihlukových opatření nemůže vést k naplnění účelu této Smlouvy. </w:t>
      </w:r>
    </w:p>
    <w:p w:rsidR="004F2B3B" w:rsidRPr="003C6A08" w:rsidRDefault="004F2B3B" w:rsidP="004F2B3B">
      <w:pPr>
        <w:pStyle w:val="Nadpis2"/>
      </w:pPr>
      <w:r w:rsidRPr="0035695A">
        <w:t xml:space="preserve">Město se zavazuje vrátit rovným dílem Investorům Finanční příspěvek či jeho část, a to ve výši kladného rozdílu mezi Městem skutečně vynaloženými náklady na realizaci Protihlukových opatření a Investory skutečně uhrazeným Finančním </w:t>
      </w:r>
      <w:r w:rsidRPr="003C6A08">
        <w:t>příspěvkem dle odst. 3.1 této Smlouvy, kdy rozhodným dnem pro určení těchto částek bude den 30. 6. 2023. Město se ro</w:t>
      </w:r>
      <w:r w:rsidR="00914214" w:rsidRPr="003C6A08">
        <w:t>vněž zavazuje vrátit Investorům</w:t>
      </w:r>
      <w:r w:rsidRPr="003C6A08">
        <w:t xml:space="preserve"> Finanční příspěvek v poměru skutečně poskytnutého Finančního příspěvku jednotlivými Investory v případě, pokud do 31. 12. 2022 vejde v platnost změna Nařízení vlády, na jejímž základě dojde ke Změně limitů hluku, v jejímž důsledku by realizace Protihlukových opatření byla bezpředmětná.</w:t>
      </w:r>
    </w:p>
    <w:p w:rsidR="004F2B3B" w:rsidRPr="0035695A" w:rsidRDefault="004F2B3B" w:rsidP="004F2B3B">
      <w:pPr>
        <w:pStyle w:val="Nadpis2"/>
      </w:pPr>
      <w:r w:rsidRPr="0035695A">
        <w:t xml:space="preserve">Smluvní strany se zavazují poskytovat si vzájemnou součinnost potřebnou pro dosažení účelu této Smlouvy. </w:t>
      </w:r>
    </w:p>
    <w:p w:rsidR="004F2B3B" w:rsidRPr="0035695A" w:rsidRDefault="004F2B3B" w:rsidP="004F2B3B">
      <w:pPr>
        <w:pStyle w:val="Nadpis1"/>
      </w:pPr>
      <w:bookmarkStart w:id="25" w:name="_Toc413236287"/>
      <w:bookmarkStart w:id="26" w:name="_Toc475964054"/>
      <w:bookmarkStart w:id="27" w:name="_Toc59032920"/>
      <w:bookmarkStart w:id="28" w:name="_Toc59032923"/>
      <w:r w:rsidRPr="0035695A">
        <w:t>Doručování</w:t>
      </w:r>
      <w:bookmarkEnd w:id="25"/>
      <w:bookmarkEnd w:id="26"/>
      <w:bookmarkEnd w:id="27"/>
    </w:p>
    <w:p w:rsidR="004F2B3B" w:rsidRPr="0035695A" w:rsidRDefault="004F2B3B" w:rsidP="004F2B3B">
      <w:pPr>
        <w:pStyle w:val="Nadpis2"/>
      </w:pPr>
      <w:r w:rsidRPr="0035695A">
        <w:t>Všechna právní jednání (oznámení, výzvy), jež jsou vyžadována nebo případně činěna podle této Smlouvy či ve vztahu k ní, budou učiněna písemně v českém jazyce a mohou být předána osobně, doručena prostřednictvím mezinárodně uznávané kurýrní služby, doporučenou poštou, nebo datovou zprávou. Všechna právní jednání (oznámení, výzvy) podle této Smlouvy se považují za doručená Smluvní straně v tentýž den, bylo-li doručeno osobně, a ve skutečný den doručení, a pokud se nepodaří prokázat, pak 10. (desátý) den ode dne odeslání, pokud bylo odesláno prostřednictvím mezinárodně uznávané kurýrní služby, doporučeným dopisem, nebo datovou zprávou (u datové zprávy 10. den ode dne dodání datové zprávy do datové schránky příjemce).</w:t>
      </w:r>
    </w:p>
    <w:p w:rsidR="004F2B3B" w:rsidRPr="0035695A" w:rsidRDefault="004F2B3B" w:rsidP="004F2B3B">
      <w:pPr>
        <w:pStyle w:val="Nadpis2"/>
      </w:pPr>
      <w:r w:rsidRPr="0035695A">
        <w:lastRenderedPageBreak/>
        <w:t>Smluvní strany (odesílatelé) se zavazují zaslat všechna právní jednání (oznámení, výzvy) v kopii rovněž na e-mailovou adresu druhé Smluvní strany (adresát) uvedenou v odst. 5.3 této Smlouvy. Nesplnění závazku dle tohoto odstavce Smlouvy nemá vliv na účinky doručení dle odst. 5.1 této Smlouvy.</w:t>
      </w:r>
    </w:p>
    <w:p w:rsidR="004F2B3B" w:rsidRPr="0035695A" w:rsidRDefault="004F2B3B" w:rsidP="004F2B3B">
      <w:pPr>
        <w:pStyle w:val="Nadpis2"/>
      </w:pPr>
      <w:r w:rsidRPr="0035695A">
        <w:t>Smluvní strany si určují následující osoby pro vzájemnou komunikaci:</w:t>
      </w:r>
    </w:p>
    <w:p w:rsidR="004F2B3B" w:rsidRPr="0035695A" w:rsidRDefault="004F2B3B" w:rsidP="004F2B3B">
      <w:pPr>
        <w:pStyle w:val="Nadpis2"/>
        <w:numPr>
          <w:ilvl w:val="2"/>
          <w:numId w:val="1"/>
        </w:numPr>
      </w:pPr>
      <w:r w:rsidRPr="0035695A">
        <w:t xml:space="preserve">NA FRANTIŠKU I, s.r.o. – Mgr. Milan Voborník, e-mail: </w:t>
      </w:r>
      <w:hyperlink r:id="rId8" w:history="1">
        <w:r w:rsidRPr="0035695A">
          <w:rPr>
            <w:rStyle w:val="Hypertextovodkaz"/>
          </w:rPr>
          <w:t>milan.vobornik@akv-ji.cz</w:t>
        </w:r>
      </w:hyperlink>
      <w:r w:rsidRPr="0035695A">
        <w:t>, tel.: 774850532</w:t>
      </w:r>
    </w:p>
    <w:p w:rsidR="004F2B3B" w:rsidRPr="0035695A" w:rsidRDefault="004F2B3B" w:rsidP="004F2B3B">
      <w:pPr>
        <w:pStyle w:val="Nadpis2"/>
        <w:numPr>
          <w:ilvl w:val="2"/>
          <w:numId w:val="1"/>
        </w:numPr>
      </w:pPr>
      <w:r w:rsidRPr="0035695A">
        <w:t xml:space="preserve">LANDWEALTH CZ s.r.o. – Ing. Milan John, e-mail: </w:t>
      </w:r>
      <w:hyperlink r:id="rId9" w:history="1">
        <w:r w:rsidRPr="0035695A">
          <w:rPr>
            <w:rStyle w:val="Hypertextovodkaz"/>
          </w:rPr>
          <w:t>john@tracebeck.eu</w:t>
        </w:r>
      </w:hyperlink>
      <w:r w:rsidRPr="0035695A">
        <w:t>, tel.: 602183732</w:t>
      </w:r>
    </w:p>
    <w:p w:rsidR="004F2B3B" w:rsidRPr="0035695A" w:rsidRDefault="004F2B3B" w:rsidP="004F2B3B">
      <w:pPr>
        <w:pStyle w:val="Nadpis2"/>
        <w:numPr>
          <w:ilvl w:val="2"/>
          <w:numId w:val="1"/>
        </w:numPr>
      </w:pPr>
      <w:r w:rsidRPr="0035695A">
        <w:t xml:space="preserve">SLD Jihlava s.r.o. – Oliver Kuruc, e-mail: </w:t>
      </w:r>
      <w:hyperlink r:id="rId10" w:history="1">
        <w:r w:rsidRPr="0035695A">
          <w:rPr>
            <w:rStyle w:val="Hypertextovodkaz"/>
          </w:rPr>
          <w:t>finance@rezidencebukova.cz</w:t>
        </w:r>
      </w:hyperlink>
      <w:r w:rsidRPr="0035695A">
        <w:t>, tel.: 731411663</w:t>
      </w:r>
    </w:p>
    <w:p w:rsidR="004F2B3B" w:rsidRPr="0035695A" w:rsidRDefault="004F2B3B" w:rsidP="004F2B3B">
      <w:pPr>
        <w:pStyle w:val="Nadpis2"/>
        <w:numPr>
          <w:ilvl w:val="2"/>
          <w:numId w:val="1"/>
        </w:numPr>
      </w:pPr>
      <w:r w:rsidRPr="0035695A">
        <w:t>Statutární město Jihlava – Ing. Vít Zeman, náměstek primátorky, e-mail: vit.zeman@jihlava-city.cz , tel.: 565 591 602</w:t>
      </w:r>
    </w:p>
    <w:p w:rsidR="004F2B3B" w:rsidRPr="0035695A" w:rsidRDefault="004F2B3B" w:rsidP="004F2B3B">
      <w:pPr>
        <w:pStyle w:val="Nadpis1"/>
        <w:keepNext w:val="0"/>
        <w:widowControl w:val="0"/>
        <w:rPr>
          <w:szCs w:val="22"/>
        </w:rPr>
      </w:pPr>
      <w:r w:rsidRPr="0035695A">
        <w:rPr>
          <w:szCs w:val="22"/>
        </w:rPr>
        <w:t>Závěrečná ustanovení</w:t>
      </w:r>
      <w:bookmarkEnd w:id="28"/>
    </w:p>
    <w:p w:rsidR="004F2B3B" w:rsidRPr="0035695A" w:rsidRDefault="004F2B3B" w:rsidP="004F2B3B">
      <w:pPr>
        <w:pStyle w:val="Nadpis2"/>
      </w:pPr>
      <w:r w:rsidRPr="0035695A">
        <w:t xml:space="preserve">Tato Smlouva nabývá platnosti okamžikem jejího uzavření a účinnosti dnem uveřejnění v registru smluv dle odst. 6.8 této Smlouvy. </w:t>
      </w:r>
    </w:p>
    <w:p w:rsidR="004F2B3B" w:rsidRPr="0035695A" w:rsidRDefault="004F2B3B" w:rsidP="004F2B3B">
      <w:pPr>
        <w:pStyle w:val="Nadpis2"/>
        <w:widowControl w:val="0"/>
      </w:pPr>
      <w:r w:rsidRPr="0035695A">
        <w:t xml:space="preserve">Práva a povinnosti Smluvních stran neřešené touto Smlouvou se řídí OZ. </w:t>
      </w:r>
    </w:p>
    <w:p w:rsidR="004F2B3B" w:rsidRPr="0035695A" w:rsidRDefault="004F2B3B" w:rsidP="004F2B3B">
      <w:pPr>
        <w:pStyle w:val="Nadpis2"/>
        <w:widowControl w:val="0"/>
      </w:pPr>
      <w:r w:rsidRPr="0035695A">
        <w:t>Smluvní strany na sebe přebírají nebezpečí změny o</w:t>
      </w:r>
      <w:r>
        <w:t>kolností ve smyslu ustanovení § </w:t>
      </w:r>
      <w:r w:rsidRPr="0035695A">
        <w:t xml:space="preserve">1765 odst. 2 OZ. Smluvní strany vylučují použití ustanovení § 1793 OZ upravující institut neúměrného zkrácení. </w:t>
      </w:r>
    </w:p>
    <w:p w:rsidR="004F2B3B" w:rsidRPr="0035695A" w:rsidRDefault="004F2B3B" w:rsidP="004F2B3B">
      <w:pPr>
        <w:pStyle w:val="Nadpis2"/>
        <w:widowControl w:val="0"/>
      </w:pPr>
      <w:r w:rsidRPr="0035695A">
        <w:t>Tato Smlouva může být měněna pouze písemnými dodatky. Za písemnou formu se pro tento účel nepovažuje výměna e-mailových či jiných elektronických zpráv.</w:t>
      </w:r>
    </w:p>
    <w:p w:rsidR="004F2B3B" w:rsidRPr="0035695A" w:rsidRDefault="004F2B3B" w:rsidP="004F2B3B">
      <w:pPr>
        <w:pStyle w:val="Nadpis2"/>
      </w:pPr>
      <w:r w:rsidRPr="0035695A">
        <w:t>Práva a povinnosti z této Smlouvy přechází na právní nástupce účastníků této Smlouvy.</w:t>
      </w:r>
    </w:p>
    <w:p w:rsidR="004F2B3B" w:rsidRPr="0035695A" w:rsidRDefault="004F2B3B" w:rsidP="004F2B3B">
      <w:pPr>
        <w:pStyle w:val="Nadpis2"/>
        <w:widowControl w:val="0"/>
      </w:pPr>
      <w:r w:rsidRPr="0035695A">
        <w:t xml:space="preserve">Pokud by se kterékoliv ustanovení této Smlouvy ukázalo být neplatným z důvodu rozporu s kogentním ustanovením právního předpisu či ustanovením nevynutitelným, pak tato skutečnost nepůsobí než neplatnost nebo nevynutitelnost onoho konkrétního ustanovení, pokud je oddělitelné od ostatního obsahu Smlouvy a nezpůsobuje neplatnost této Smlouvy. Smluvní strany se zavazují takové neplatné nebo nevynutitelné ustanovení nahradit dohodou svým obsahem nejbližší tohoto ustanovení. </w:t>
      </w:r>
    </w:p>
    <w:p w:rsidR="004F2B3B" w:rsidRPr="0035695A" w:rsidRDefault="004F2B3B" w:rsidP="004F2B3B">
      <w:pPr>
        <w:pStyle w:val="Nadpis2"/>
        <w:widowControl w:val="0"/>
        <w:rPr>
          <w:b/>
          <w:color w:val="000000" w:themeColor="text1"/>
        </w:rPr>
      </w:pPr>
      <w:r w:rsidRPr="0035695A">
        <w:t>Smluvní strany výslovně potvrzují, že základní podmínky této Smlouvy jsou výsledkem jednání Smluvních stran a každá ze Smluvních stran měla příležitost ovlivnit obsah základních podmínek této Smlouvy.</w:t>
      </w:r>
    </w:p>
    <w:p w:rsidR="004F2B3B" w:rsidRPr="0035695A" w:rsidRDefault="004F2B3B" w:rsidP="004F2B3B">
      <w:pPr>
        <w:pStyle w:val="Nadpis2"/>
        <w:widowControl w:val="0"/>
        <w:rPr>
          <w:b/>
          <w:color w:val="000000" w:themeColor="text1"/>
        </w:rPr>
      </w:pPr>
      <w:r w:rsidRPr="0035695A">
        <w:rPr>
          <w:noProof/>
        </w:rPr>
        <w:t>Město se zavazuje uveřejnit  tuto Smlouvu v registru smluv v souladu s platnými právními předpisy, a to bez zbytečného odkladu po jejím uzavření.</w:t>
      </w:r>
    </w:p>
    <w:p w:rsidR="004F2B3B" w:rsidRPr="004F2B3B" w:rsidRDefault="004F2B3B" w:rsidP="005D6633">
      <w:pPr>
        <w:pStyle w:val="Nadpis2"/>
        <w:widowControl w:val="0"/>
        <w:rPr>
          <w:b/>
          <w:color w:val="000000" w:themeColor="text1"/>
        </w:rPr>
      </w:pPr>
      <w:r w:rsidRPr="004F2B3B">
        <w:rPr>
          <w:bCs/>
          <w:color w:val="000000" w:themeColor="text1"/>
        </w:rPr>
        <w:t xml:space="preserve">Zastupitelstvo města Jihlavy schválilo </w:t>
      </w:r>
      <w:r w:rsidR="004854CC">
        <w:rPr>
          <w:bCs/>
          <w:color w:val="000000" w:themeColor="text1"/>
        </w:rPr>
        <w:t>uzavření této Smlouvy na svém 21</w:t>
      </w:r>
      <w:r w:rsidRPr="004F2B3B">
        <w:rPr>
          <w:bCs/>
          <w:color w:val="000000" w:themeColor="text1"/>
        </w:rPr>
        <w:t>.</w:t>
      </w:r>
      <w:r w:rsidR="004854CC">
        <w:rPr>
          <w:bCs/>
        </w:rPr>
        <w:t xml:space="preserve"> zasedání konaném dne 21. 09</w:t>
      </w:r>
      <w:r w:rsidRPr="004F2B3B">
        <w:rPr>
          <w:bCs/>
        </w:rPr>
        <w:t>. 2021 usnesením č</w:t>
      </w:r>
      <w:r w:rsidR="004854CC">
        <w:rPr>
          <w:bCs/>
        </w:rPr>
        <w:t>.</w:t>
      </w:r>
      <w:r>
        <w:rPr>
          <w:bCs/>
        </w:rPr>
        <w:t xml:space="preserve">                                   </w:t>
      </w:r>
    </w:p>
    <w:p w:rsidR="004F2B3B" w:rsidRPr="004F2B3B" w:rsidRDefault="004F2B3B" w:rsidP="005D6633">
      <w:pPr>
        <w:pStyle w:val="Nadpis2"/>
        <w:widowControl w:val="0"/>
        <w:rPr>
          <w:b/>
          <w:color w:val="000000" w:themeColor="text1"/>
        </w:rPr>
      </w:pPr>
      <w:r w:rsidRPr="004F2B3B">
        <w:rPr>
          <w:color w:val="000000" w:themeColor="text1"/>
        </w:rPr>
        <w:t xml:space="preserve">Tato Smlouva se vyhotovuje v celkem 5 (slovy: pěti) vyhotoveních. Investoři obdrží </w:t>
      </w:r>
      <w:r w:rsidRPr="004F2B3B">
        <w:rPr>
          <w:color w:val="000000" w:themeColor="text1"/>
        </w:rPr>
        <w:lastRenderedPageBreak/>
        <w:t>po podpisu této Smlouvy každý 1 (slovy: jedno) vyhotovení, Město obdrží po podpisu této Smlouvy 2 (slovy: dvě) vyhotovení.</w:t>
      </w:r>
    </w:p>
    <w:p w:rsidR="004F2B3B" w:rsidRPr="0035695A" w:rsidRDefault="004F2B3B" w:rsidP="004F2B3B">
      <w:pPr>
        <w:pStyle w:val="Nadpis2"/>
        <w:widowControl w:val="0"/>
      </w:pPr>
      <w:r w:rsidRPr="0035695A">
        <w:t xml:space="preserve">Smluvní strany prohlašují, že jsou plně svéprávné, Smlouvu si přečetly a na důkaz souhlasu s jejím obsahem připojují své podpisy. </w:t>
      </w:r>
    </w:p>
    <w:p w:rsidR="004F2B3B" w:rsidRPr="0035695A" w:rsidRDefault="004F2B3B" w:rsidP="004F2B3B">
      <w:pPr>
        <w:pStyle w:val="Nadpis2"/>
        <w:widowControl w:val="0"/>
      </w:pPr>
      <w:r w:rsidRPr="0035695A">
        <w:rPr>
          <w:color w:val="000000" w:themeColor="text1"/>
        </w:rPr>
        <w:t>Smluvní strany tímto výslovně prohlašují, že tato Smlouva vyjadřuje jejich pravou a svobodnou vůli, na důkaz čehož připojují níže své podpisy.</w:t>
      </w:r>
    </w:p>
    <w:tbl>
      <w:tblPr>
        <w:tblW w:w="0" w:type="auto"/>
        <w:tblLook w:val="04A0" w:firstRow="1" w:lastRow="0" w:firstColumn="1" w:lastColumn="0" w:noHBand="0" w:noVBand="1"/>
      </w:tblPr>
      <w:tblGrid>
        <w:gridCol w:w="4517"/>
        <w:gridCol w:w="4554"/>
      </w:tblGrid>
      <w:tr w:rsidR="004F2B3B" w:rsidRPr="0035695A" w:rsidTr="008470DF">
        <w:tc>
          <w:tcPr>
            <w:tcW w:w="4517" w:type="dxa"/>
          </w:tcPr>
          <w:p w:rsidR="004F2B3B" w:rsidRPr="0035695A" w:rsidRDefault="004F2B3B" w:rsidP="008470DF">
            <w:pPr>
              <w:widowControl w:val="0"/>
              <w:tabs>
                <w:tab w:val="left" w:pos="851"/>
                <w:tab w:val="left" w:pos="4820"/>
                <w:tab w:val="left" w:pos="6096"/>
              </w:tabs>
              <w:rPr>
                <w:rFonts w:ascii="Cambria" w:hAnsi="Cambria"/>
                <w:b/>
                <w:color w:val="000000" w:themeColor="text1"/>
                <w:szCs w:val="22"/>
              </w:rPr>
            </w:pPr>
          </w:p>
          <w:p w:rsidR="004F2B3B" w:rsidRDefault="004F2B3B" w:rsidP="008470DF">
            <w:pPr>
              <w:widowControl w:val="0"/>
              <w:tabs>
                <w:tab w:val="left" w:pos="851"/>
                <w:tab w:val="left" w:pos="4820"/>
                <w:tab w:val="left" w:pos="6096"/>
              </w:tabs>
              <w:rPr>
                <w:rFonts w:ascii="Cambria" w:hAnsi="Cambria"/>
                <w:b/>
                <w:color w:val="000000" w:themeColor="text1"/>
                <w:szCs w:val="22"/>
              </w:rPr>
            </w:pPr>
          </w:p>
          <w:p w:rsidR="004F2B3B" w:rsidRPr="0035695A" w:rsidRDefault="004F2B3B" w:rsidP="008470DF">
            <w:pPr>
              <w:widowControl w:val="0"/>
              <w:tabs>
                <w:tab w:val="left" w:pos="851"/>
                <w:tab w:val="left" w:pos="4820"/>
                <w:tab w:val="left" w:pos="6096"/>
              </w:tabs>
              <w:rPr>
                <w:rFonts w:ascii="Cambria" w:hAnsi="Cambria"/>
                <w:b/>
                <w:color w:val="000000" w:themeColor="text1"/>
                <w:szCs w:val="22"/>
              </w:rPr>
            </w:pPr>
          </w:p>
        </w:tc>
        <w:tc>
          <w:tcPr>
            <w:tcW w:w="4554" w:type="dxa"/>
          </w:tcPr>
          <w:p w:rsidR="004F2B3B" w:rsidRPr="0035695A" w:rsidRDefault="004F2B3B" w:rsidP="008470DF">
            <w:pPr>
              <w:widowControl w:val="0"/>
              <w:tabs>
                <w:tab w:val="left" w:pos="851"/>
                <w:tab w:val="left" w:pos="4820"/>
                <w:tab w:val="left" w:pos="6096"/>
              </w:tabs>
              <w:rPr>
                <w:rFonts w:ascii="Cambria" w:hAnsi="Cambria"/>
                <w:b/>
                <w:color w:val="000000" w:themeColor="text1"/>
                <w:szCs w:val="22"/>
              </w:rPr>
            </w:pPr>
          </w:p>
        </w:tc>
      </w:tr>
      <w:tr w:rsidR="004F2B3B" w:rsidRPr="0035695A" w:rsidTr="008470DF">
        <w:tc>
          <w:tcPr>
            <w:tcW w:w="4517" w:type="dxa"/>
          </w:tcPr>
          <w:p w:rsidR="004F2B3B" w:rsidRPr="0035695A" w:rsidRDefault="004F2B3B" w:rsidP="008470DF">
            <w:pPr>
              <w:widowControl w:val="0"/>
              <w:tabs>
                <w:tab w:val="left" w:pos="851"/>
                <w:tab w:val="left" w:pos="4820"/>
                <w:tab w:val="left" w:pos="6096"/>
              </w:tabs>
              <w:rPr>
                <w:rFonts w:ascii="Cambria" w:hAnsi="Cambria"/>
                <w:color w:val="000000" w:themeColor="text1"/>
                <w:szCs w:val="22"/>
              </w:rPr>
            </w:pPr>
            <w:r w:rsidRPr="0035695A">
              <w:rPr>
                <w:rFonts w:ascii="Cambria" w:hAnsi="Cambria"/>
                <w:color w:val="000000" w:themeColor="text1"/>
                <w:szCs w:val="22"/>
              </w:rPr>
              <w:t xml:space="preserve">V </w:t>
            </w:r>
          </w:p>
          <w:p w:rsidR="004F2B3B" w:rsidRPr="0035695A" w:rsidRDefault="004F2B3B" w:rsidP="008470DF">
            <w:pPr>
              <w:widowControl w:val="0"/>
              <w:tabs>
                <w:tab w:val="left" w:pos="851"/>
                <w:tab w:val="left" w:pos="4820"/>
                <w:tab w:val="left" w:pos="6096"/>
              </w:tabs>
              <w:rPr>
                <w:rFonts w:ascii="Cambria" w:hAnsi="Cambria"/>
                <w:color w:val="000000" w:themeColor="text1"/>
                <w:szCs w:val="22"/>
              </w:rPr>
            </w:pPr>
          </w:p>
          <w:p w:rsidR="004F2B3B" w:rsidRPr="0035695A" w:rsidRDefault="004F2B3B" w:rsidP="008470DF">
            <w:pPr>
              <w:widowControl w:val="0"/>
              <w:tabs>
                <w:tab w:val="left" w:pos="851"/>
                <w:tab w:val="left" w:pos="4820"/>
                <w:tab w:val="left" w:pos="6096"/>
              </w:tabs>
              <w:rPr>
                <w:rFonts w:ascii="Cambria" w:hAnsi="Cambria"/>
                <w:color w:val="000000" w:themeColor="text1"/>
                <w:szCs w:val="22"/>
              </w:rPr>
            </w:pPr>
            <w:r w:rsidRPr="0035695A">
              <w:rPr>
                <w:rFonts w:ascii="Cambria" w:hAnsi="Cambria"/>
                <w:color w:val="000000" w:themeColor="text1"/>
                <w:szCs w:val="22"/>
              </w:rPr>
              <w:t xml:space="preserve">Dne: </w:t>
            </w:r>
          </w:p>
          <w:p w:rsidR="004F2B3B" w:rsidRPr="0035695A" w:rsidRDefault="004F2B3B" w:rsidP="008470DF">
            <w:pPr>
              <w:widowControl w:val="0"/>
              <w:tabs>
                <w:tab w:val="left" w:pos="851"/>
                <w:tab w:val="left" w:pos="4820"/>
                <w:tab w:val="left" w:pos="6096"/>
              </w:tabs>
              <w:rPr>
                <w:rFonts w:ascii="Cambria" w:hAnsi="Cambria"/>
                <w:b/>
                <w:bCs/>
                <w:color w:val="FF0000"/>
                <w:szCs w:val="22"/>
              </w:rPr>
            </w:pPr>
            <w:r w:rsidRPr="0035695A">
              <w:rPr>
                <w:rFonts w:ascii="Cambria" w:hAnsi="Cambria"/>
                <w:color w:val="000000" w:themeColor="text1"/>
                <w:szCs w:val="22"/>
              </w:rPr>
              <w:t xml:space="preserve"> </w:t>
            </w:r>
          </w:p>
          <w:p w:rsidR="004F2B3B" w:rsidRPr="0035695A" w:rsidRDefault="004F2B3B" w:rsidP="008470DF">
            <w:pPr>
              <w:widowControl w:val="0"/>
              <w:tabs>
                <w:tab w:val="left" w:pos="851"/>
                <w:tab w:val="left" w:pos="4820"/>
                <w:tab w:val="left" w:pos="6096"/>
              </w:tabs>
              <w:rPr>
                <w:rFonts w:ascii="Cambria" w:hAnsi="Cambria"/>
                <w:szCs w:val="22"/>
              </w:rPr>
            </w:pPr>
            <w:r w:rsidRPr="0035695A">
              <w:rPr>
                <w:rFonts w:ascii="Cambria" w:hAnsi="Cambria"/>
                <w:szCs w:val="22"/>
              </w:rPr>
              <w:t xml:space="preserve">Za společnost </w:t>
            </w:r>
            <w:r w:rsidRPr="0035695A">
              <w:rPr>
                <w:rFonts w:ascii="Cambria" w:hAnsi="Cambria"/>
                <w:b/>
                <w:bCs/>
                <w:szCs w:val="22"/>
              </w:rPr>
              <w:t>NA FRANTIŠKU I, s.r.o.</w:t>
            </w:r>
            <w:r w:rsidRPr="0035695A">
              <w:rPr>
                <w:rFonts w:ascii="Cambria" w:hAnsi="Cambria"/>
                <w:szCs w:val="22"/>
              </w:rPr>
              <w:t>:</w:t>
            </w:r>
          </w:p>
        </w:tc>
        <w:tc>
          <w:tcPr>
            <w:tcW w:w="4554" w:type="dxa"/>
          </w:tcPr>
          <w:p w:rsidR="004F2B3B" w:rsidRPr="0035695A" w:rsidRDefault="004F2B3B" w:rsidP="008470DF">
            <w:pPr>
              <w:widowControl w:val="0"/>
              <w:tabs>
                <w:tab w:val="left" w:pos="851"/>
                <w:tab w:val="left" w:pos="4820"/>
                <w:tab w:val="left" w:pos="6096"/>
              </w:tabs>
              <w:rPr>
                <w:rFonts w:ascii="Cambria" w:hAnsi="Cambria"/>
                <w:color w:val="000000" w:themeColor="text1"/>
                <w:szCs w:val="22"/>
              </w:rPr>
            </w:pPr>
            <w:r w:rsidRPr="0035695A">
              <w:rPr>
                <w:rFonts w:ascii="Cambria" w:hAnsi="Cambria"/>
                <w:color w:val="000000" w:themeColor="text1"/>
                <w:szCs w:val="22"/>
              </w:rPr>
              <w:t xml:space="preserve">V Jihlavě </w:t>
            </w:r>
          </w:p>
          <w:p w:rsidR="004F2B3B" w:rsidRPr="0035695A" w:rsidRDefault="004F2B3B" w:rsidP="008470DF">
            <w:pPr>
              <w:widowControl w:val="0"/>
              <w:tabs>
                <w:tab w:val="left" w:pos="851"/>
                <w:tab w:val="left" w:pos="4820"/>
                <w:tab w:val="left" w:pos="6096"/>
              </w:tabs>
              <w:rPr>
                <w:rFonts w:ascii="Cambria" w:hAnsi="Cambria"/>
                <w:color w:val="000000" w:themeColor="text1"/>
                <w:szCs w:val="22"/>
              </w:rPr>
            </w:pPr>
          </w:p>
          <w:p w:rsidR="004F2B3B" w:rsidRPr="0035695A" w:rsidRDefault="004F2B3B" w:rsidP="008470DF">
            <w:pPr>
              <w:widowControl w:val="0"/>
              <w:tabs>
                <w:tab w:val="left" w:pos="851"/>
                <w:tab w:val="left" w:pos="4820"/>
                <w:tab w:val="left" w:pos="6096"/>
              </w:tabs>
              <w:rPr>
                <w:rFonts w:ascii="Cambria" w:hAnsi="Cambria"/>
                <w:szCs w:val="22"/>
              </w:rPr>
            </w:pPr>
            <w:r w:rsidRPr="0035695A">
              <w:rPr>
                <w:rFonts w:ascii="Cambria" w:hAnsi="Cambria"/>
                <w:szCs w:val="22"/>
              </w:rPr>
              <w:t xml:space="preserve">Dne: </w:t>
            </w:r>
          </w:p>
          <w:p w:rsidR="004F2B3B" w:rsidRPr="0035695A" w:rsidRDefault="004F2B3B" w:rsidP="008470DF">
            <w:pPr>
              <w:widowControl w:val="0"/>
              <w:tabs>
                <w:tab w:val="left" w:pos="851"/>
                <w:tab w:val="left" w:pos="4820"/>
                <w:tab w:val="left" w:pos="6096"/>
              </w:tabs>
              <w:rPr>
                <w:rFonts w:ascii="Cambria" w:hAnsi="Cambria"/>
                <w:szCs w:val="22"/>
              </w:rPr>
            </w:pPr>
          </w:p>
          <w:p w:rsidR="004F2B3B" w:rsidRPr="0035695A" w:rsidRDefault="004F2B3B" w:rsidP="008470DF">
            <w:pPr>
              <w:widowControl w:val="0"/>
              <w:tabs>
                <w:tab w:val="left" w:pos="851"/>
                <w:tab w:val="left" w:pos="4820"/>
                <w:tab w:val="left" w:pos="6096"/>
              </w:tabs>
              <w:rPr>
                <w:rFonts w:ascii="Cambria" w:hAnsi="Cambria"/>
                <w:szCs w:val="22"/>
              </w:rPr>
            </w:pPr>
            <w:r w:rsidRPr="0035695A">
              <w:rPr>
                <w:rFonts w:ascii="Cambria" w:hAnsi="Cambria"/>
                <w:szCs w:val="22"/>
              </w:rPr>
              <w:t xml:space="preserve">Za </w:t>
            </w:r>
            <w:r w:rsidRPr="0035695A">
              <w:rPr>
                <w:rFonts w:ascii="Cambria" w:hAnsi="Cambria"/>
                <w:b/>
                <w:szCs w:val="22"/>
              </w:rPr>
              <w:t>Město</w:t>
            </w:r>
            <w:r w:rsidRPr="0035695A">
              <w:rPr>
                <w:rFonts w:ascii="Cambria" w:hAnsi="Cambria"/>
                <w:szCs w:val="22"/>
              </w:rPr>
              <w:t>:</w:t>
            </w:r>
          </w:p>
          <w:p w:rsidR="004F2B3B" w:rsidRDefault="004F2B3B" w:rsidP="008470DF">
            <w:pPr>
              <w:widowControl w:val="0"/>
              <w:tabs>
                <w:tab w:val="left" w:pos="851"/>
                <w:tab w:val="left" w:pos="4820"/>
                <w:tab w:val="left" w:pos="6096"/>
              </w:tabs>
              <w:rPr>
                <w:rFonts w:ascii="Cambria" w:hAnsi="Cambria"/>
                <w:color w:val="000000" w:themeColor="text1"/>
                <w:szCs w:val="22"/>
              </w:rPr>
            </w:pPr>
          </w:p>
          <w:p w:rsidR="004854CC" w:rsidRPr="0035695A" w:rsidRDefault="004854CC" w:rsidP="008470DF">
            <w:pPr>
              <w:widowControl w:val="0"/>
              <w:tabs>
                <w:tab w:val="left" w:pos="851"/>
                <w:tab w:val="left" w:pos="4820"/>
                <w:tab w:val="left" w:pos="6096"/>
              </w:tabs>
              <w:rPr>
                <w:rFonts w:ascii="Cambria" w:hAnsi="Cambria"/>
                <w:color w:val="000000" w:themeColor="text1"/>
                <w:szCs w:val="22"/>
              </w:rPr>
            </w:pPr>
          </w:p>
        </w:tc>
      </w:tr>
      <w:tr w:rsidR="004F2B3B" w:rsidRPr="0035695A" w:rsidTr="004854CC">
        <w:trPr>
          <w:trHeight w:val="571"/>
        </w:trPr>
        <w:tc>
          <w:tcPr>
            <w:tcW w:w="4517" w:type="dxa"/>
          </w:tcPr>
          <w:p w:rsidR="004F2B3B" w:rsidRPr="0035695A" w:rsidRDefault="004854CC" w:rsidP="008470DF">
            <w:pPr>
              <w:widowControl w:val="0"/>
              <w:tabs>
                <w:tab w:val="left" w:pos="851"/>
                <w:tab w:val="left" w:pos="4820"/>
                <w:tab w:val="left" w:pos="6096"/>
              </w:tabs>
              <w:rPr>
                <w:rFonts w:ascii="Cambria" w:hAnsi="Cambria"/>
                <w:szCs w:val="22"/>
              </w:rPr>
            </w:pPr>
            <w:r>
              <w:rPr>
                <w:rFonts w:ascii="Cambria" w:hAnsi="Cambria"/>
                <w:szCs w:val="22"/>
              </w:rPr>
              <w:t>_____________________</w:t>
            </w:r>
            <w:r>
              <w:rPr>
                <w:rFonts w:ascii="Cambria" w:hAnsi="Cambria"/>
                <w:szCs w:val="22"/>
              </w:rPr>
              <w:softHyphen/>
            </w:r>
            <w:r>
              <w:rPr>
                <w:rFonts w:ascii="Cambria" w:hAnsi="Cambria"/>
                <w:szCs w:val="22"/>
              </w:rPr>
              <w:softHyphen/>
            </w:r>
            <w:r>
              <w:rPr>
                <w:rFonts w:ascii="Cambria" w:hAnsi="Cambria"/>
                <w:szCs w:val="22"/>
              </w:rPr>
              <w:softHyphen/>
            </w:r>
            <w:r>
              <w:rPr>
                <w:rFonts w:ascii="Cambria" w:hAnsi="Cambria"/>
                <w:szCs w:val="22"/>
              </w:rPr>
              <w:softHyphen/>
              <w:t>____</w:t>
            </w:r>
            <w:r w:rsidR="004F2B3B" w:rsidRPr="0035695A">
              <w:rPr>
                <w:rFonts w:ascii="Cambria" w:hAnsi="Cambria"/>
                <w:szCs w:val="22"/>
              </w:rPr>
              <w:t>______</w:t>
            </w:r>
            <w:r>
              <w:rPr>
                <w:rFonts w:ascii="Cambria" w:hAnsi="Cambria"/>
                <w:szCs w:val="22"/>
              </w:rPr>
              <w:t>_____</w:t>
            </w:r>
          </w:p>
        </w:tc>
        <w:tc>
          <w:tcPr>
            <w:tcW w:w="4554" w:type="dxa"/>
          </w:tcPr>
          <w:p w:rsidR="004F2B3B" w:rsidRPr="0035695A" w:rsidRDefault="004F2B3B" w:rsidP="008470DF">
            <w:pPr>
              <w:widowControl w:val="0"/>
              <w:tabs>
                <w:tab w:val="left" w:pos="851"/>
                <w:tab w:val="left" w:pos="4820"/>
                <w:tab w:val="left" w:pos="6096"/>
              </w:tabs>
              <w:rPr>
                <w:rFonts w:ascii="Cambria" w:hAnsi="Cambria"/>
                <w:szCs w:val="22"/>
              </w:rPr>
            </w:pPr>
            <w:r w:rsidRPr="0035695A">
              <w:rPr>
                <w:rFonts w:ascii="Cambria" w:hAnsi="Cambria"/>
                <w:szCs w:val="22"/>
              </w:rPr>
              <w:t>______________________________________</w:t>
            </w:r>
          </w:p>
        </w:tc>
      </w:tr>
      <w:tr w:rsidR="004F2B3B" w:rsidRPr="0035695A" w:rsidTr="008470DF">
        <w:tc>
          <w:tcPr>
            <w:tcW w:w="4517" w:type="dxa"/>
          </w:tcPr>
          <w:p w:rsidR="004F2B3B" w:rsidRPr="0035695A" w:rsidRDefault="004F2B3B" w:rsidP="008470DF">
            <w:pPr>
              <w:widowControl w:val="0"/>
              <w:tabs>
                <w:tab w:val="left" w:pos="851"/>
                <w:tab w:val="left" w:pos="4820"/>
                <w:tab w:val="left" w:pos="6096"/>
              </w:tabs>
              <w:rPr>
                <w:rFonts w:ascii="Cambria" w:hAnsi="Cambria"/>
                <w:szCs w:val="22"/>
              </w:rPr>
            </w:pPr>
            <w:r w:rsidRPr="0035695A">
              <w:rPr>
                <w:rFonts w:ascii="Cambria" w:hAnsi="Cambria"/>
                <w:szCs w:val="22"/>
              </w:rPr>
              <w:t>Mgr. Milan Voborník</w:t>
            </w:r>
          </w:p>
          <w:p w:rsidR="004F2B3B" w:rsidRPr="0035695A" w:rsidRDefault="004F2B3B" w:rsidP="008470DF">
            <w:pPr>
              <w:widowControl w:val="0"/>
              <w:tabs>
                <w:tab w:val="left" w:pos="851"/>
                <w:tab w:val="left" w:pos="4820"/>
                <w:tab w:val="left" w:pos="6096"/>
              </w:tabs>
              <w:rPr>
                <w:rFonts w:ascii="Cambria" w:hAnsi="Cambria"/>
                <w:color w:val="000000" w:themeColor="text1"/>
                <w:szCs w:val="22"/>
              </w:rPr>
            </w:pPr>
          </w:p>
          <w:p w:rsidR="004F2B3B" w:rsidRDefault="004F2B3B" w:rsidP="008470DF">
            <w:pPr>
              <w:widowControl w:val="0"/>
              <w:tabs>
                <w:tab w:val="left" w:pos="851"/>
                <w:tab w:val="left" w:pos="4820"/>
                <w:tab w:val="left" w:pos="6096"/>
              </w:tabs>
              <w:rPr>
                <w:rFonts w:ascii="Cambria" w:hAnsi="Cambria"/>
                <w:color w:val="000000" w:themeColor="text1"/>
                <w:szCs w:val="22"/>
              </w:rPr>
            </w:pPr>
          </w:p>
          <w:p w:rsidR="004F2B3B" w:rsidRPr="0035695A" w:rsidRDefault="004F2B3B" w:rsidP="008470DF">
            <w:pPr>
              <w:widowControl w:val="0"/>
              <w:tabs>
                <w:tab w:val="left" w:pos="851"/>
                <w:tab w:val="left" w:pos="4820"/>
                <w:tab w:val="left" w:pos="6096"/>
              </w:tabs>
              <w:rPr>
                <w:rFonts w:ascii="Cambria" w:hAnsi="Cambria"/>
                <w:color w:val="000000" w:themeColor="text1"/>
                <w:szCs w:val="22"/>
              </w:rPr>
            </w:pPr>
          </w:p>
        </w:tc>
        <w:tc>
          <w:tcPr>
            <w:tcW w:w="4554" w:type="dxa"/>
          </w:tcPr>
          <w:p w:rsidR="004F2B3B" w:rsidRPr="0035695A" w:rsidRDefault="004F2B3B" w:rsidP="008470DF">
            <w:pPr>
              <w:widowControl w:val="0"/>
              <w:tabs>
                <w:tab w:val="left" w:pos="851"/>
                <w:tab w:val="left" w:pos="4820"/>
                <w:tab w:val="left" w:pos="6096"/>
              </w:tabs>
              <w:rPr>
                <w:rFonts w:ascii="Cambria" w:hAnsi="Cambria"/>
                <w:szCs w:val="22"/>
              </w:rPr>
            </w:pPr>
            <w:r w:rsidRPr="0035695A">
              <w:rPr>
                <w:rFonts w:ascii="Cambria" w:hAnsi="Cambria"/>
                <w:szCs w:val="22"/>
              </w:rPr>
              <w:t>Ing. Vít Zeman, náměstek primátorky</w:t>
            </w:r>
          </w:p>
          <w:p w:rsidR="004F2B3B" w:rsidRPr="0035695A" w:rsidRDefault="004F2B3B" w:rsidP="008470DF">
            <w:pPr>
              <w:widowControl w:val="0"/>
              <w:tabs>
                <w:tab w:val="left" w:pos="851"/>
                <w:tab w:val="left" w:pos="4820"/>
                <w:tab w:val="left" w:pos="6096"/>
              </w:tabs>
              <w:rPr>
                <w:rFonts w:ascii="Cambria" w:hAnsi="Cambria"/>
                <w:color w:val="000000" w:themeColor="text1"/>
                <w:szCs w:val="22"/>
              </w:rPr>
            </w:pPr>
          </w:p>
        </w:tc>
      </w:tr>
    </w:tbl>
    <w:p w:rsidR="004F2B3B" w:rsidRPr="0035695A" w:rsidRDefault="004F2B3B" w:rsidP="004F2B3B">
      <w:pPr>
        <w:widowControl w:val="0"/>
        <w:tabs>
          <w:tab w:val="left" w:pos="851"/>
          <w:tab w:val="left" w:pos="4820"/>
          <w:tab w:val="left" w:pos="6096"/>
        </w:tabs>
        <w:rPr>
          <w:rFonts w:ascii="Cambria" w:hAnsi="Cambria"/>
          <w:color w:val="000000" w:themeColor="text1"/>
          <w:szCs w:val="22"/>
        </w:rPr>
      </w:pPr>
      <w:r w:rsidRPr="0035695A">
        <w:rPr>
          <w:rFonts w:ascii="Cambria" w:hAnsi="Cambria"/>
          <w:color w:val="000000" w:themeColor="text1"/>
          <w:szCs w:val="22"/>
        </w:rPr>
        <w:t xml:space="preserve">V </w:t>
      </w:r>
    </w:p>
    <w:p w:rsidR="004F2B3B" w:rsidRPr="0035695A" w:rsidRDefault="004F2B3B" w:rsidP="004F2B3B">
      <w:pPr>
        <w:widowControl w:val="0"/>
        <w:tabs>
          <w:tab w:val="left" w:pos="851"/>
          <w:tab w:val="left" w:pos="4820"/>
          <w:tab w:val="left" w:pos="6096"/>
        </w:tabs>
        <w:rPr>
          <w:rFonts w:ascii="Cambria" w:hAnsi="Cambria"/>
          <w:color w:val="000000" w:themeColor="text1"/>
          <w:szCs w:val="22"/>
        </w:rPr>
      </w:pPr>
    </w:p>
    <w:p w:rsidR="004F2B3B" w:rsidRPr="0035695A" w:rsidRDefault="004F2B3B" w:rsidP="004F2B3B">
      <w:pPr>
        <w:widowControl w:val="0"/>
        <w:tabs>
          <w:tab w:val="left" w:pos="851"/>
          <w:tab w:val="left" w:pos="4820"/>
          <w:tab w:val="left" w:pos="6096"/>
        </w:tabs>
        <w:rPr>
          <w:rFonts w:ascii="Cambria" w:hAnsi="Cambria"/>
          <w:color w:val="000000" w:themeColor="text1"/>
          <w:szCs w:val="22"/>
        </w:rPr>
      </w:pPr>
      <w:r w:rsidRPr="0035695A">
        <w:rPr>
          <w:rFonts w:ascii="Cambria" w:hAnsi="Cambria"/>
          <w:color w:val="000000" w:themeColor="text1"/>
          <w:szCs w:val="22"/>
        </w:rPr>
        <w:t xml:space="preserve">Dne: </w:t>
      </w:r>
    </w:p>
    <w:p w:rsidR="004F2B3B" w:rsidRPr="0035695A" w:rsidRDefault="004F2B3B" w:rsidP="004F2B3B">
      <w:pPr>
        <w:widowControl w:val="0"/>
        <w:tabs>
          <w:tab w:val="left" w:pos="851"/>
          <w:tab w:val="left" w:pos="4820"/>
          <w:tab w:val="left" w:pos="6096"/>
        </w:tabs>
        <w:rPr>
          <w:rFonts w:ascii="Cambria" w:hAnsi="Cambria"/>
          <w:color w:val="000000" w:themeColor="text1"/>
          <w:szCs w:val="22"/>
        </w:rPr>
      </w:pPr>
    </w:p>
    <w:p w:rsidR="004F2B3B" w:rsidRPr="0035695A" w:rsidRDefault="004F2B3B" w:rsidP="004F2B3B">
      <w:pPr>
        <w:widowControl w:val="0"/>
        <w:tabs>
          <w:tab w:val="left" w:pos="851"/>
          <w:tab w:val="left" w:pos="4820"/>
          <w:tab w:val="left" w:pos="6096"/>
        </w:tabs>
        <w:rPr>
          <w:rFonts w:ascii="Cambria" w:hAnsi="Cambria"/>
          <w:b/>
          <w:bCs/>
        </w:rPr>
      </w:pPr>
      <w:r w:rsidRPr="0035695A">
        <w:rPr>
          <w:rFonts w:ascii="Cambria" w:hAnsi="Cambria"/>
          <w:color w:val="000000" w:themeColor="text1"/>
          <w:szCs w:val="22"/>
        </w:rPr>
        <w:t xml:space="preserve">Za společnost </w:t>
      </w:r>
      <w:r w:rsidRPr="0035695A">
        <w:rPr>
          <w:rFonts w:ascii="Cambria" w:hAnsi="Cambria"/>
          <w:b/>
          <w:bCs/>
        </w:rPr>
        <w:t>LANDWEALTH CZ s.r.o.</w:t>
      </w:r>
      <w:r w:rsidRPr="0035695A">
        <w:rPr>
          <w:rFonts w:ascii="Cambria" w:hAnsi="Cambria"/>
          <w:bCs/>
        </w:rPr>
        <w:t>:</w:t>
      </w:r>
    </w:p>
    <w:p w:rsidR="004F2B3B" w:rsidRDefault="004F2B3B" w:rsidP="004F2B3B">
      <w:pPr>
        <w:widowControl w:val="0"/>
        <w:tabs>
          <w:tab w:val="left" w:pos="851"/>
          <w:tab w:val="left" w:pos="4820"/>
          <w:tab w:val="left" w:pos="6096"/>
        </w:tabs>
        <w:rPr>
          <w:rFonts w:ascii="Cambria" w:hAnsi="Cambria"/>
          <w:b/>
          <w:bCs/>
        </w:rPr>
      </w:pPr>
    </w:p>
    <w:p w:rsidR="004854CC" w:rsidRPr="0035695A" w:rsidRDefault="004854CC" w:rsidP="004F2B3B">
      <w:pPr>
        <w:widowControl w:val="0"/>
        <w:tabs>
          <w:tab w:val="left" w:pos="851"/>
          <w:tab w:val="left" w:pos="4820"/>
          <w:tab w:val="left" w:pos="6096"/>
        </w:tabs>
        <w:rPr>
          <w:rFonts w:ascii="Cambria" w:hAnsi="Cambria"/>
          <w:b/>
          <w:bCs/>
        </w:rPr>
      </w:pPr>
    </w:p>
    <w:p w:rsidR="004F2B3B" w:rsidRPr="0035695A" w:rsidRDefault="004F2B3B" w:rsidP="004F2B3B">
      <w:pPr>
        <w:widowControl w:val="0"/>
        <w:tabs>
          <w:tab w:val="left" w:pos="851"/>
          <w:tab w:val="left" w:pos="4820"/>
          <w:tab w:val="left" w:pos="6096"/>
        </w:tabs>
        <w:rPr>
          <w:rFonts w:ascii="Cambria" w:hAnsi="Cambria"/>
          <w:b/>
          <w:bCs/>
        </w:rPr>
      </w:pPr>
      <w:r w:rsidRPr="0035695A">
        <w:rPr>
          <w:rFonts w:ascii="Cambria" w:hAnsi="Cambria"/>
          <w:b/>
          <w:bCs/>
        </w:rPr>
        <w:t>_____________________________________</w:t>
      </w:r>
    </w:p>
    <w:p w:rsidR="004F2B3B" w:rsidRPr="0035695A" w:rsidRDefault="004F2B3B" w:rsidP="004F2B3B">
      <w:pPr>
        <w:widowControl w:val="0"/>
        <w:tabs>
          <w:tab w:val="left" w:pos="851"/>
          <w:tab w:val="left" w:pos="4820"/>
          <w:tab w:val="left" w:pos="6096"/>
        </w:tabs>
        <w:rPr>
          <w:rFonts w:ascii="Cambria" w:hAnsi="Cambria"/>
          <w:color w:val="000000" w:themeColor="text1"/>
          <w:szCs w:val="22"/>
        </w:rPr>
      </w:pPr>
      <w:r w:rsidRPr="0035695A">
        <w:rPr>
          <w:rFonts w:ascii="Cambria" w:hAnsi="Cambria"/>
          <w:color w:val="000000" w:themeColor="text1"/>
          <w:szCs w:val="22"/>
        </w:rPr>
        <w:t>Ing. Milan John</w:t>
      </w:r>
    </w:p>
    <w:p w:rsidR="004F2B3B" w:rsidRDefault="004F2B3B" w:rsidP="004F2B3B">
      <w:pPr>
        <w:widowControl w:val="0"/>
        <w:tabs>
          <w:tab w:val="left" w:pos="851"/>
          <w:tab w:val="left" w:pos="4820"/>
          <w:tab w:val="left" w:pos="6096"/>
        </w:tabs>
        <w:rPr>
          <w:rFonts w:ascii="Cambria" w:hAnsi="Cambria"/>
          <w:color w:val="000000" w:themeColor="text1"/>
          <w:szCs w:val="22"/>
        </w:rPr>
      </w:pPr>
    </w:p>
    <w:p w:rsidR="004F2B3B" w:rsidRPr="0035695A" w:rsidRDefault="004F2B3B" w:rsidP="004F2B3B">
      <w:pPr>
        <w:widowControl w:val="0"/>
        <w:tabs>
          <w:tab w:val="left" w:pos="851"/>
          <w:tab w:val="left" w:pos="4820"/>
          <w:tab w:val="left" w:pos="6096"/>
        </w:tabs>
        <w:rPr>
          <w:rFonts w:ascii="Cambria" w:hAnsi="Cambria"/>
          <w:color w:val="000000" w:themeColor="text1"/>
          <w:szCs w:val="22"/>
        </w:rPr>
      </w:pPr>
    </w:p>
    <w:p w:rsidR="004F2B3B" w:rsidRPr="0035695A" w:rsidRDefault="004F2B3B" w:rsidP="004F2B3B">
      <w:pPr>
        <w:widowControl w:val="0"/>
        <w:tabs>
          <w:tab w:val="left" w:pos="851"/>
          <w:tab w:val="left" w:pos="4820"/>
          <w:tab w:val="left" w:pos="6096"/>
        </w:tabs>
        <w:rPr>
          <w:rFonts w:ascii="Cambria" w:hAnsi="Cambria"/>
          <w:color w:val="000000" w:themeColor="text1"/>
          <w:szCs w:val="22"/>
        </w:rPr>
      </w:pPr>
    </w:p>
    <w:p w:rsidR="004F2B3B" w:rsidRPr="0035695A" w:rsidRDefault="004F2B3B" w:rsidP="004F2B3B">
      <w:pPr>
        <w:widowControl w:val="0"/>
        <w:tabs>
          <w:tab w:val="left" w:pos="851"/>
          <w:tab w:val="left" w:pos="4820"/>
          <w:tab w:val="left" w:pos="6096"/>
        </w:tabs>
        <w:rPr>
          <w:rFonts w:ascii="Cambria" w:hAnsi="Cambria"/>
          <w:color w:val="000000" w:themeColor="text1"/>
          <w:szCs w:val="22"/>
        </w:rPr>
      </w:pPr>
      <w:r w:rsidRPr="0035695A">
        <w:rPr>
          <w:rFonts w:ascii="Cambria" w:hAnsi="Cambria"/>
          <w:color w:val="000000" w:themeColor="text1"/>
          <w:szCs w:val="22"/>
        </w:rPr>
        <w:t xml:space="preserve">V </w:t>
      </w:r>
    </w:p>
    <w:p w:rsidR="004F2B3B" w:rsidRPr="0035695A" w:rsidRDefault="004F2B3B" w:rsidP="004F2B3B">
      <w:pPr>
        <w:widowControl w:val="0"/>
        <w:tabs>
          <w:tab w:val="left" w:pos="851"/>
          <w:tab w:val="left" w:pos="4820"/>
          <w:tab w:val="left" w:pos="6096"/>
        </w:tabs>
        <w:rPr>
          <w:rFonts w:ascii="Cambria" w:hAnsi="Cambria"/>
          <w:color w:val="000000" w:themeColor="text1"/>
          <w:szCs w:val="22"/>
        </w:rPr>
      </w:pPr>
    </w:p>
    <w:p w:rsidR="004F2B3B" w:rsidRPr="0035695A" w:rsidRDefault="004F2B3B" w:rsidP="004F2B3B">
      <w:pPr>
        <w:widowControl w:val="0"/>
        <w:tabs>
          <w:tab w:val="left" w:pos="851"/>
          <w:tab w:val="left" w:pos="4820"/>
          <w:tab w:val="left" w:pos="6096"/>
        </w:tabs>
        <w:rPr>
          <w:rFonts w:ascii="Cambria" w:hAnsi="Cambria"/>
          <w:color w:val="000000" w:themeColor="text1"/>
          <w:szCs w:val="22"/>
        </w:rPr>
      </w:pPr>
      <w:r w:rsidRPr="0035695A">
        <w:rPr>
          <w:rFonts w:ascii="Cambria" w:hAnsi="Cambria"/>
          <w:color w:val="000000" w:themeColor="text1"/>
          <w:szCs w:val="22"/>
        </w:rPr>
        <w:t xml:space="preserve">Dne: </w:t>
      </w:r>
    </w:p>
    <w:p w:rsidR="004F2B3B" w:rsidRPr="0035695A" w:rsidRDefault="004F2B3B" w:rsidP="004F2B3B">
      <w:pPr>
        <w:widowControl w:val="0"/>
        <w:tabs>
          <w:tab w:val="left" w:pos="851"/>
          <w:tab w:val="left" w:pos="4820"/>
          <w:tab w:val="left" w:pos="6096"/>
        </w:tabs>
        <w:rPr>
          <w:rFonts w:ascii="Cambria" w:hAnsi="Cambria"/>
          <w:color w:val="000000" w:themeColor="text1"/>
          <w:szCs w:val="22"/>
        </w:rPr>
      </w:pPr>
    </w:p>
    <w:p w:rsidR="004F2B3B" w:rsidRPr="0035695A" w:rsidRDefault="004F2B3B" w:rsidP="004F2B3B">
      <w:pPr>
        <w:widowControl w:val="0"/>
        <w:tabs>
          <w:tab w:val="left" w:pos="851"/>
          <w:tab w:val="left" w:pos="4820"/>
          <w:tab w:val="left" w:pos="6096"/>
        </w:tabs>
        <w:rPr>
          <w:rFonts w:ascii="Cambria" w:hAnsi="Cambria"/>
          <w:color w:val="000000" w:themeColor="text1"/>
          <w:szCs w:val="22"/>
        </w:rPr>
      </w:pPr>
      <w:r w:rsidRPr="0035695A">
        <w:rPr>
          <w:rFonts w:ascii="Cambria" w:hAnsi="Cambria"/>
          <w:color w:val="000000" w:themeColor="text1"/>
          <w:szCs w:val="22"/>
        </w:rPr>
        <w:t xml:space="preserve">Za společnost </w:t>
      </w:r>
      <w:r w:rsidRPr="0035695A">
        <w:rPr>
          <w:rFonts w:ascii="Cambria" w:hAnsi="Cambria"/>
          <w:b/>
          <w:color w:val="000000" w:themeColor="text1"/>
          <w:szCs w:val="22"/>
        </w:rPr>
        <w:t>SLD Jihlava s.r.o.</w:t>
      </w:r>
      <w:r w:rsidRPr="0035695A">
        <w:rPr>
          <w:rFonts w:ascii="Cambria" w:hAnsi="Cambria"/>
          <w:color w:val="000000" w:themeColor="text1"/>
          <w:szCs w:val="22"/>
        </w:rPr>
        <w:t>:</w:t>
      </w:r>
    </w:p>
    <w:p w:rsidR="004F2B3B" w:rsidRPr="0035695A" w:rsidRDefault="004F2B3B" w:rsidP="004F2B3B">
      <w:pPr>
        <w:widowControl w:val="0"/>
        <w:tabs>
          <w:tab w:val="left" w:pos="851"/>
          <w:tab w:val="left" w:pos="4820"/>
          <w:tab w:val="left" w:pos="6096"/>
        </w:tabs>
        <w:rPr>
          <w:rFonts w:ascii="Cambria" w:hAnsi="Cambria"/>
          <w:color w:val="000000" w:themeColor="text1"/>
          <w:szCs w:val="22"/>
        </w:rPr>
      </w:pPr>
    </w:p>
    <w:p w:rsidR="004854CC" w:rsidRDefault="004854CC" w:rsidP="004F2B3B">
      <w:pPr>
        <w:widowControl w:val="0"/>
        <w:tabs>
          <w:tab w:val="left" w:pos="851"/>
          <w:tab w:val="left" w:pos="4820"/>
          <w:tab w:val="left" w:pos="6096"/>
        </w:tabs>
        <w:rPr>
          <w:rFonts w:ascii="Cambria" w:hAnsi="Cambria"/>
          <w:color w:val="000000" w:themeColor="text1"/>
          <w:szCs w:val="22"/>
        </w:rPr>
      </w:pPr>
    </w:p>
    <w:p w:rsidR="004F2B3B" w:rsidRPr="0035695A" w:rsidRDefault="004F2B3B" w:rsidP="004F2B3B">
      <w:pPr>
        <w:widowControl w:val="0"/>
        <w:tabs>
          <w:tab w:val="left" w:pos="851"/>
          <w:tab w:val="left" w:pos="4820"/>
          <w:tab w:val="left" w:pos="6096"/>
        </w:tabs>
        <w:rPr>
          <w:rFonts w:ascii="Cambria" w:hAnsi="Cambria"/>
          <w:color w:val="000000" w:themeColor="text1"/>
          <w:szCs w:val="22"/>
        </w:rPr>
      </w:pPr>
      <w:r w:rsidRPr="0035695A">
        <w:rPr>
          <w:rFonts w:ascii="Cambria" w:hAnsi="Cambria"/>
          <w:color w:val="000000" w:themeColor="text1"/>
          <w:szCs w:val="22"/>
        </w:rPr>
        <w:t>________________________________</w:t>
      </w:r>
      <w:r w:rsidR="004854CC">
        <w:rPr>
          <w:rFonts w:ascii="Cambria" w:hAnsi="Cambria"/>
          <w:color w:val="000000" w:themeColor="text1"/>
          <w:szCs w:val="22"/>
        </w:rPr>
        <w:t>_____</w:t>
      </w:r>
    </w:p>
    <w:p w:rsidR="004F2B3B" w:rsidRPr="0035695A" w:rsidRDefault="004F2B3B" w:rsidP="004F2B3B">
      <w:pPr>
        <w:widowControl w:val="0"/>
        <w:tabs>
          <w:tab w:val="left" w:pos="851"/>
          <w:tab w:val="left" w:pos="4820"/>
          <w:tab w:val="left" w:pos="6096"/>
        </w:tabs>
        <w:rPr>
          <w:rFonts w:ascii="Cambria" w:hAnsi="Cambria"/>
          <w:color w:val="000000" w:themeColor="text1"/>
          <w:szCs w:val="22"/>
        </w:rPr>
      </w:pPr>
      <w:r w:rsidRPr="0035695A">
        <w:rPr>
          <w:rFonts w:ascii="Cambria" w:hAnsi="Cambria"/>
          <w:color w:val="000000" w:themeColor="text1"/>
          <w:szCs w:val="22"/>
        </w:rPr>
        <w:t>Oliver Kuruc</w:t>
      </w:r>
    </w:p>
    <w:p w:rsidR="004F2B3B" w:rsidRPr="00C201B3" w:rsidRDefault="004F2B3B" w:rsidP="004F2B3B">
      <w:pPr>
        <w:rPr>
          <w:rFonts w:ascii="Cambria" w:hAnsi="Cambria"/>
        </w:rPr>
      </w:pPr>
    </w:p>
    <w:p w:rsidR="0040475A" w:rsidRDefault="0040475A"/>
    <w:sectPr w:rsidR="0040475A" w:rsidSect="00B80719">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771" w:rsidRDefault="00BC4771">
      <w:r>
        <w:separator/>
      </w:r>
    </w:p>
  </w:endnote>
  <w:endnote w:type="continuationSeparator" w:id="0">
    <w:p w:rsidR="00BC4771" w:rsidRDefault="00BC4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D9B" w:rsidRDefault="004F2B3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rsidR="00B66D9B" w:rsidRDefault="00BC477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D9B" w:rsidRDefault="004F2B3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A42F4C">
      <w:rPr>
        <w:rStyle w:val="slostrnky"/>
        <w:noProof/>
      </w:rPr>
      <w:t>3</w:t>
    </w:r>
    <w:r>
      <w:rPr>
        <w:rStyle w:val="slostrnky"/>
      </w:rPr>
      <w:fldChar w:fldCharType="end"/>
    </w:r>
  </w:p>
  <w:p w:rsidR="00B66D9B" w:rsidRDefault="00BC4771">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464" w:rsidRDefault="00BC477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771" w:rsidRDefault="00BC4771">
      <w:r>
        <w:separator/>
      </w:r>
    </w:p>
  </w:footnote>
  <w:footnote w:type="continuationSeparator" w:id="0">
    <w:p w:rsidR="00BC4771" w:rsidRDefault="00BC47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464" w:rsidRDefault="00BC477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D9B" w:rsidRDefault="00BC4771">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464" w:rsidRDefault="00BC477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C87C0C"/>
    <w:multiLevelType w:val="hybridMultilevel"/>
    <w:tmpl w:val="740A0586"/>
    <w:lvl w:ilvl="0" w:tplc="E2B6E004">
      <w:start w:val="1"/>
      <w:numFmt w:val="lowerLetter"/>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 w15:restartNumberingAfterBreak="0">
    <w:nsid w:val="76060C1E"/>
    <w:multiLevelType w:val="multilevel"/>
    <w:tmpl w:val="70B07668"/>
    <w:lvl w:ilvl="0">
      <w:start w:val="1"/>
      <w:numFmt w:val="decimal"/>
      <w:pStyle w:val="Nadpis1"/>
      <w:lvlText w:val="%1."/>
      <w:lvlJc w:val="left"/>
      <w:pPr>
        <w:tabs>
          <w:tab w:val="num" w:pos="1134"/>
        </w:tabs>
        <w:ind w:left="1134" w:hanging="1134"/>
      </w:pPr>
      <w:rPr>
        <w:rFonts w:ascii="Cambria" w:hAnsi="Cambria" w:hint="default"/>
      </w:rPr>
    </w:lvl>
    <w:lvl w:ilvl="1">
      <w:start w:val="1"/>
      <w:numFmt w:val="decimal"/>
      <w:pStyle w:val="Nadpis2"/>
      <w:lvlText w:val="%1.%2."/>
      <w:lvlJc w:val="left"/>
      <w:pPr>
        <w:tabs>
          <w:tab w:val="num" w:pos="1134"/>
        </w:tabs>
        <w:ind w:left="1134" w:hanging="1134"/>
      </w:pPr>
      <w:rPr>
        <w:rFonts w:ascii="Cambria" w:hAnsi="Cambria"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Letter"/>
      <w:lvlText w:val="(%3)"/>
      <w:lvlJc w:val="left"/>
      <w:pPr>
        <w:tabs>
          <w:tab w:val="num" w:pos="1701"/>
        </w:tabs>
        <w:ind w:left="1701" w:hanging="567"/>
      </w:pPr>
      <w:rPr>
        <w:rFonts w:hint="default"/>
      </w:rPr>
    </w:lvl>
    <w:lvl w:ilvl="3">
      <w:start w:val="1"/>
      <w:numFmt w:val="lowerRoman"/>
      <w:lvlText w:val="(%4)"/>
      <w:lvlJc w:val="left"/>
      <w:pPr>
        <w:tabs>
          <w:tab w:val="num" w:pos="2495"/>
        </w:tabs>
        <w:ind w:left="2495" w:hanging="794"/>
      </w:pPr>
      <w:rPr>
        <w:rFonts w:hint="default"/>
      </w:rPr>
    </w:lvl>
    <w:lvl w:ilvl="4">
      <w:start w:val="1"/>
      <w:numFmt w:val="none"/>
      <w:lvlText w:val="-"/>
      <w:lvlJc w:val="left"/>
      <w:pPr>
        <w:tabs>
          <w:tab w:val="num" w:pos="2892"/>
        </w:tabs>
        <w:ind w:left="2892" w:hanging="397"/>
      </w:pPr>
      <w:rPr>
        <w:rFonts w:hint="default"/>
      </w:rPr>
    </w:lvl>
    <w:lvl w:ilvl="5">
      <w:start w:val="1"/>
      <w:numFmt w:val="none"/>
      <w:lvlText w:val=""/>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78151765"/>
    <w:multiLevelType w:val="hybridMultilevel"/>
    <w:tmpl w:val="B85E87E4"/>
    <w:lvl w:ilvl="0" w:tplc="E1FC3B20">
      <w:start w:val="1"/>
      <w:numFmt w:val="decimal"/>
      <w:lvlText w:val="%1."/>
      <w:lvlJc w:val="left"/>
      <w:pPr>
        <w:ind w:left="1068" w:hanging="360"/>
      </w:pPr>
      <w:rPr>
        <w:rFonts w:hint="default"/>
        <w:b/>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B3B"/>
    <w:rsid w:val="00370BA0"/>
    <w:rsid w:val="003C6A08"/>
    <w:rsid w:val="0040475A"/>
    <w:rsid w:val="004854CC"/>
    <w:rsid w:val="004F2B3B"/>
    <w:rsid w:val="005C610D"/>
    <w:rsid w:val="00626A3B"/>
    <w:rsid w:val="00630D40"/>
    <w:rsid w:val="00796BBE"/>
    <w:rsid w:val="007C5C76"/>
    <w:rsid w:val="00884992"/>
    <w:rsid w:val="00914214"/>
    <w:rsid w:val="00A340F4"/>
    <w:rsid w:val="00A42F4C"/>
    <w:rsid w:val="00AC303C"/>
    <w:rsid w:val="00B96495"/>
    <w:rsid w:val="00BC4771"/>
    <w:rsid w:val="00E45912"/>
    <w:rsid w:val="00E72B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05F59D-0E1F-4ED4-87D2-620759096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F2B3B"/>
    <w:pPr>
      <w:spacing w:after="0" w:line="240" w:lineRule="auto"/>
    </w:pPr>
    <w:rPr>
      <w:rFonts w:ascii="Times New Roman" w:eastAsia="Times New Roman" w:hAnsi="Times New Roman" w:cs="Times New Roman"/>
      <w:szCs w:val="20"/>
      <w:lang w:eastAsia="cs-CZ"/>
    </w:rPr>
  </w:style>
  <w:style w:type="paragraph" w:styleId="Nadpis1">
    <w:name w:val="heading 1"/>
    <w:basedOn w:val="Normln"/>
    <w:next w:val="Nadpis2"/>
    <w:link w:val="Nadpis1Char"/>
    <w:uiPriority w:val="9"/>
    <w:qFormat/>
    <w:rsid w:val="004F2B3B"/>
    <w:pPr>
      <w:keepNext/>
      <w:numPr>
        <w:numId w:val="1"/>
      </w:numPr>
      <w:spacing w:before="240" w:after="60"/>
      <w:outlineLvl w:val="0"/>
    </w:pPr>
    <w:rPr>
      <w:rFonts w:ascii="Cambria" w:hAnsi="Cambria"/>
      <w:b/>
      <w:i/>
      <w:kern w:val="28"/>
    </w:rPr>
  </w:style>
  <w:style w:type="paragraph" w:styleId="Nadpis2">
    <w:name w:val="heading 2"/>
    <w:aliases w:val="Nadpis 2 Char Char Char Char Char,Nadpis 2 Char Char Char Char Char Char Char Char Char,Nadpis 2 Char Char Char,Nadpis 2 Char Char Char Char,Nadpis 2 Char Char Char Char Char Char Char Char,Nadpis 2 Char Char,Char"/>
    <w:basedOn w:val="Normln"/>
    <w:link w:val="Nadpis2Char"/>
    <w:uiPriority w:val="9"/>
    <w:qFormat/>
    <w:rsid w:val="004F2B3B"/>
    <w:pPr>
      <w:numPr>
        <w:ilvl w:val="1"/>
        <w:numId w:val="1"/>
      </w:numPr>
      <w:spacing w:before="240" w:after="60"/>
      <w:jc w:val="both"/>
      <w:outlineLvl w:val="1"/>
    </w:pPr>
    <w:rPr>
      <w:rFonts w:ascii="Cambria" w:hAnsi="Cambria"/>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F2B3B"/>
    <w:rPr>
      <w:rFonts w:ascii="Cambria" w:eastAsia="Times New Roman" w:hAnsi="Cambria" w:cs="Times New Roman"/>
      <w:b/>
      <w:i/>
      <w:kern w:val="28"/>
      <w:szCs w:val="20"/>
      <w:lang w:eastAsia="cs-CZ"/>
    </w:rPr>
  </w:style>
  <w:style w:type="character" w:customStyle="1" w:styleId="Nadpis2Char">
    <w:name w:val="Nadpis 2 Char"/>
    <w:aliases w:val="Nadpis 2 Char Char Char Char Char Char,Nadpis 2 Char Char Char Char Char Char Char Char Char Char,Nadpis 2 Char Char Char Char1,Nadpis 2 Char Char Char Char Char1,Nadpis 2 Char Char Char Char Char Char Char Char Char1,Char Char"/>
    <w:basedOn w:val="Standardnpsmoodstavce"/>
    <w:link w:val="Nadpis2"/>
    <w:rsid w:val="004F2B3B"/>
    <w:rPr>
      <w:rFonts w:ascii="Cambria" w:eastAsia="Times New Roman" w:hAnsi="Cambria" w:cs="Times New Roman"/>
      <w:lang w:eastAsia="cs-CZ"/>
    </w:rPr>
  </w:style>
  <w:style w:type="paragraph" w:styleId="Zpat">
    <w:name w:val="footer"/>
    <w:basedOn w:val="Normln"/>
    <w:link w:val="ZpatChar"/>
    <w:rsid w:val="004F2B3B"/>
    <w:pPr>
      <w:tabs>
        <w:tab w:val="center" w:pos="4536"/>
        <w:tab w:val="right" w:pos="9072"/>
      </w:tabs>
    </w:pPr>
  </w:style>
  <w:style w:type="character" w:customStyle="1" w:styleId="ZpatChar">
    <w:name w:val="Zápatí Char"/>
    <w:basedOn w:val="Standardnpsmoodstavce"/>
    <w:link w:val="Zpat"/>
    <w:rsid w:val="004F2B3B"/>
    <w:rPr>
      <w:rFonts w:ascii="Times New Roman" w:eastAsia="Times New Roman" w:hAnsi="Times New Roman" w:cs="Times New Roman"/>
      <w:szCs w:val="20"/>
      <w:lang w:eastAsia="cs-CZ"/>
    </w:rPr>
  </w:style>
  <w:style w:type="character" w:styleId="slostrnky">
    <w:name w:val="page number"/>
    <w:basedOn w:val="Standardnpsmoodstavce"/>
    <w:rsid w:val="004F2B3B"/>
  </w:style>
  <w:style w:type="paragraph" w:styleId="Odstavecseseznamem">
    <w:name w:val="List Paragraph"/>
    <w:basedOn w:val="Normln"/>
    <w:uiPriority w:val="34"/>
    <w:qFormat/>
    <w:rsid w:val="004F2B3B"/>
    <w:pPr>
      <w:ind w:left="1134"/>
    </w:pPr>
    <w:rPr>
      <w:rFonts w:ascii="Cambria" w:hAnsi="Cambria"/>
    </w:rPr>
  </w:style>
  <w:style w:type="paragraph" w:styleId="Zhlav">
    <w:name w:val="header"/>
    <w:basedOn w:val="Normln"/>
    <w:link w:val="ZhlavChar"/>
    <w:unhideWhenUsed/>
    <w:rsid w:val="004F2B3B"/>
    <w:pPr>
      <w:tabs>
        <w:tab w:val="center" w:pos="4536"/>
        <w:tab w:val="right" w:pos="9072"/>
      </w:tabs>
    </w:pPr>
    <w:rPr>
      <w:sz w:val="24"/>
      <w:szCs w:val="24"/>
    </w:rPr>
  </w:style>
  <w:style w:type="character" w:customStyle="1" w:styleId="ZhlavChar">
    <w:name w:val="Záhlaví Char"/>
    <w:basedOn w:val="Standardnpsmoodstavce"/>
    <w:link w:val="Zhlav"/>
    <w:rsid w:val="004F2B3B"/>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4F2B3B"/>
    <w:rPr>
      <w:color w:val="0563C1" w:themeColor="hyperlink"/>
      <w:u w:val="single"/>
    </w:rPr>
  </w:style>
  <w:style w:type="character" w:styleId="Odkaznakoment">
    <w:name w:val="annotation reference"/>
    <w:basedOn w:val="Standardnpsmoodstavce"/>
    <w:uiPriority w:val="99"/>
    <w:semiHidden/>
    <w:unhideWhenUsed/>
    <w:rsid w:val="00B96495"/>
    <w:rPr>
      <w:sz w:val="16"/>
      <w:szCs w:val="16"/>
    </w:rPr>
  </w:style>
  <w:style w:type="paragraph" w:styleId="Textkomente">
    <w:name w:val="annotation text"/>
    <w:basedOn w:val="Normln"/>
    <w:link w:val="TextkomenteChar"/>
    <w:uiPriority w:val="99"/>
    <w:semiHidden/>
    <w:unhideWhenUsed/>
    <w:rsid w:val="00B96495"/>
    <w:rPr>
      <w:sz w:val="20"/>
    </w:rPr>
  </w:style>
  <w:style w:type="character" w:customStyle="1" w:styleId="TextkomenteChar">
    <w:name w:val="Text komentáře Char"/>
    <w:basedOn w:val="Standardnpsmoodstavce"/>
    <w:link w:val="Textkomente"/>
    <w:uiPriority w:val="99"/>
    <w:semiHidden/>
    <w:rsid w:val="00B9649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96495"/>
    <w:rPr>
      <w:b/>
      <w:bCs/>
    </w:rPr>
  </w:style>
  <w:style w:type="character" w:customStyle="1" w:styleId="PedmtkomenteChar">
    <w:name w:val="Předmět komentáře Char"/>
    <w:basedOn w:val="TextkomenteChar"/>
    <w:link w:val="Pedmtkomente"/>
    <w:uiPriority w:val="99"/>
    <w:semiHidden/>
    <w:rsid w:val="00B96495"/>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96495"/>
    <w:rPr>
      <w:rFonts w:ascii="Tahoma" w:hAnsi="Tahoma" w:cs="Tahoma"/>
      <w:sz w:val="16"/>
      <w:szCs w:val="16"/>
    </w:rPr>
  </w:style>
  <w:style w:type="character" w:customStyle="1" w:styleId="TextbublinyChar">
    <w:name w:val="Text bubliny Char"/>
    <w:basedOn w:val="Standardnpsmoodstavce"/>
    <w:link w:val="Textbubliny"/>
    <w:uiPriority w:val="99"/>
    <w:semiHidden/>
    <w:rsid w:val="00B96495"/>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an.vobornik@akv-ji.c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finance@rezidencebukova.cz" TargetMode="External"/><Relationship Id="rId4" Type="http://schemas.openxmlformats.org/officeDocument/2006/relationships/settings" Target="settings.xml"/><Relationship Id="rId9" Type="http://schemas.openxmlformats.org/officeDocument/2006/relationships/hyperlink" Target="mailto:john@tracebeck.eu" TargetMode="Externa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9E608-4ACA-4619-8178-75DEBE665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6</Pages>
  <Words>1942</Words>
  <Characters>11459</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13375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GREGOROVA Lucie Mgr.</dc:creator>
  <cp:lastModifiedBy>GREGOROVA Lucie Mgr.</cp:lastModifiedBy>
  <cp:revision>8</cp:revision>
  <dcterms:created xsi:type="dcterms:W3CDTF">2021-06-28T06:03:00Z</dcterms:created>
  <dcterms:modified xsi:type="dcterms:W3CDTF">2021-08-31T11:56:00Z</dcterms:modified>
</cp:coreProperties>
</file>